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898BF">
      <w:pPr>
        <w:widowControl/>
        <w:spacing w:line="180" w:lineRule="atLeast"/>
        <w:rPr>
          <w:rFonts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3688715</wp:posOffset>
                </wp:positionH>
                <wp:positionV relativeFrom="paragraph">
                  <wp:posOffset>6985</wp:posOffset>
                </wp:positionV>
                <wp:extent cx="1554480" cy="439420"/>
                <wp:effectExtent l="4445" t="4445" r="22225" b="13335"/>
                <wp:wrapNone/>
                <wp:docPr id="10" name="文本框 10"/>
                <wp:cNvGraphicFramePr/>
                <a:graphic xmlns:a="http://schemas.openxmlformats.org/drawingml/2006/main">
                  <a:graphicData uri="http://schemas.microsoft.com/office/word/2010/wordprocessingShape">
                    <wps:wsp>
                      <wps:cNvSpPr txBox="1"/>
                      <wps:spPr>
                        <a:xfrm>
                          <a:off x="0" y="0"/>
                          <a:ext cx="1554480" cy="439420"/>
                        </a:xfrm>
                        <a:prstGeom prst="rect">
                          <a:avLst/>
                        </a:prstGeom>
                        <a:solidFill>
                          <a:srgbClr val="FFFFFF"/>
                        </a:solidFill>
                        <a:ln w="6350">
                          <a:solidFill>
                            <a:prstClr val="black"/>
                          </a:solidFill>
                        </a:ln>
                        <a:effectLst/>
                      </wps:spPr>
                      <wps:txbx>
                        <w:txbxContent>
                          <w:p w14:paraId="01D8B807">
                            <w:pPr>
                              <w:jc w:val="center"/>
                              <w:rPr>
                                <w:b/>
                                <w:bCs/>
                                <w:sz w:val="28"/>
                                <w:szCs w:val="28"/>
                              </w:rPr>
                            </w:pPr>
                            <w:r>
                              <w:rPr>
                                <w:rFonts w:hint="eastAsia"/>
                                <w:b/>
                                <w:bCs/>
                                <w:sz w:val="28"/>
                                <w:szCs w:val="28"/>
                              </w:rPr>
                              <w:t>政府采购项目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45pt;margin-top:0.55pt;height:34.6pt;width:122.4pt;z-index:251659264;mso-width-relative:page;mso-height-relative:page;" fillcolor="#FFFFFF" filled="t" stroked="t" coordsize="21600,21600" o:gfxdata="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e&#10;Ue9W1QAAAAgBAAAPAAAAAAAAAAEAIAAAACIAAABkcnMvZG93bnJldi54bWxQSwECFAAUAAAACACH&#10;TuJAjgUITmACAADHBAAADgAAAAAAAAABACAAAAAkAQAAZHJzL2Uyb0RvYy54bWxQSwUGAAAAAAYA&#10;BgBZAQAA9gUAAAAA&#10;">
                <v:fill on="t" focussize="0,0"/>
                <v:stroke weight="0.5pt" color="#000000" joinstyle="round"/>
                <v:imagedata o:title=""/>
                <o:lock v:ext="edit" aspectratio="f"/>
                <v:textbox>
                  <w:txbxContent>
                    <w:p w14:paraId="01D8B807">
                      <w:pPr>
                        <w:jc w:val="center"/>
                        <w:rPr>
                          <w:b/>
                          <w:bCs/>
                          <w:sz w:val="28"/>
                          <w:szCs w:val="28"/>
                        </w:rPr>
                      </w:pPr>
                      <w:r>
                        <w:rPr>
                          <w:rFonts w:hint="eastAsia"/>
                          <w:b/>
                          <w:bCs/>
                          <w:sz w:val="28"/>
                          <w:szCs w:val="28"/>
                        </w:rPr>
                        <w:t>政府采购项目</w:t>
                      </w:r>
                    </w:p>
                  </w:txbxContent>
                </v:textbox>
              </v:shape>
            </w:pict>
          </mc:Fallback>
        </mc:AlternateContent>
      </w:r>
    </w:p>
    <w:p w14:paraId="105F98AC">
      <w:pPr>
        <w:widowControl/>
        <w:spacing w:line="180" w:lineRule="atLeast"/>
        <w:rPr>
          <w:rFonts w:ascii="宋体" w:hAnsi="宋体" w:eastAsia="宋体" w:cs="宋体"/>
          <w:highlight w:val="none"/>
        </w:rPr>
      </w:pPr>
    </w:p>
    <w:p w14:paraId="4B334440">
      <w:pPr>
        <w:widowControl/>
        <w:spacing w:line="180" w:lineRule="atLeast"/>
        <w:rPr>
          <w:rFonts w:ascii="宋体" w:hAnsi="宋体" w:eastAsia="宋体" w:cs="宋体"/>
          <w:highlight w:val="none"/>
        </w:rPr>
      </w:pPr>
    </w:p>
    <w:p w14:paraId="3128F09E">
      <w:pPr>
        <w:widowControl/>
        <w:spacing w:line="180" w:lineRule="atLeast"/>
        <w:rPr>
          <w:rFonts w:hint="default" w:ascii="宋体" w:hAnsi="宋体" w:eastAsia="宋体" w:cs="宋体"/>
          <w:b/>
          <w:kern w:val="0"/>
          <w:sz w:val="32"/>
          <w:szCs w:val="28"/>
          <w:highlight w:val="none"/>
          <w:lang w:val="en-US" w:eastAsia="zh-CN"/>
        </w:rPr>
      </w:pPr>
      <w:r>
        <w:rPr>
          <w:rFonts w:hint="eastAsia" w:ascii="宋体" w:hAnsi="宋体" w:eastAsia="宋体" w:cs="宋体"/>
          <w:b/>
          <w:kern w:val="0"/>
          <w:sz w:val="32"/>
          <w:szCs w:val="28"/>
          <w:highlight w:val="none"/>
        </w:rPr>
        <w:t>项目编号：</w:t>
      </w:r>
      <w:r>
        <w:rPr>
          <w:rFonts w:hint="eastAsia" w:ascii="宋体" w:hAnsi="宋体" w:eastAsia="宋体" w:cs="宋体"/>
          <w:b/>
          <w:kern w:val="0"/>
          <w:sz w:val="32"/>
          <w:szCs w:val="28"/>
          <w:highlight w:val="none"/>
          <w:lang w:eastAsia="zh-CN"/>
        </w:rPr>
        <w:t>HDZX2025（027）CG</w:t>
      </w:r>
      <w:r>
        <w:rPr>
          <w:rFonts w:hint="eastAsia" w:ascii="宋体" w:hAnsi="宋体" w:eastAsia="宋体" w:cs="宋体"/>
          <w:b/>
          <w:kern w:val="0"/>
          <w:sz w:val="32"/>
          <w:szCs w:val="28"/>
          <w:highlight w:val="none"/>
          <w:lang w:val="en-US" w:eastAsia="zh-CN"/>
        </w:rPr>
        <w:t>-1</w:t>
      </w:r>
    </w:p>
    <w:p w14:paraId="12DD7E77">
      <w:pPr>
        <w:numPr>
          <w:ilvl w:val="3"/>
          <w:numId w:val="0"/>
        </w:numPr>
        <w:rPr>
          <w:rFonts w:ascii="宋体" w:hAnsi="宋体" w:eastAsia="宋体" w:cs="宋体"/>
          <w:highlight w:val="none"/>
        </w:rPr>
      </w:pPr>
    </w:p>
    <w:p w14:paraId="34BD1283">
      <w:pPr>
        <w:rPr>
          <w:rFonts w:ascii="宋体" w:hAnsi="宋体" w:eastAsia="宋体" w:cs="宋体"/>
          <w:highlight w:val="none"/>
        </w:rPr>
      </w:pPr>
    </w:p>
    <w:p w14:paraId="5CDC8DB3">
      <w:pPr>
        <w:jc w:val="center"/>
        <w:rPr>
          <w:rFonts w:ascii="宋体" w:hAnsi="宋体" w:eastAsia="宋体" w:cs="宋体"/>
          <w:b/>
          <w:bCs/>
          <w:kern w:val="0"/>
          <w:sz w:val="40"/>
          <w:szCs w:val="40"/>
          <w:highlight w:val="none"/>
          <w:shd w:val="clear" w:color="auto" w:fill="FFFFFF"/>
          <w:lang w:bidi="ar"/>
        </w:rPr>
      </w:pPr>
    </w:p>
    <w:p w14:paraId="639251E0">
      <w:pPr>
        <w:pStyle w:val="36"/>
        <w:ind w:firstLine="0" w:firstLineChars="0"/>
        <w:jc w:val="center"/>
        <w:rPr>
          <w:rFonts w:ascii="宋体" w:hAnsi="宋体" w:eastAsia="宋体" w:cs="宋体"/>
          <w:sz w:val="36"/>
          <w:szCs w:val="36"/>
          <w:highlight w:val="none"/>
        </w:rPr>
      </w:pPr>
      <w:r>
        <w:rPr>
          <w:rFonts w:hint="eastAsia" w:ascii="宋体" w:hAnsi="宋体" w:eastAsia="宋体" w:cs="宋体"/>
          <w:b/>
          <w:bCs/>
          <w:kern w:val="0"/>
          <w:sz w:val="36"/>
          <w:szCs w:val="36"/>
          <w:highlight w:val="none"/>
          <w:shd w:val="clear" w:color="auto" w:fill="FFFFFF"/>
          <w:lang w:eastAsia="zh-CN" w:bidi="ar"/>
        </w:rPr>
        <w:t>居家和社区基本养老服务提升行动项目Ⅰ标段</w:t>
      </w:r>
    </w:p>
    <w:p w14:paraId="39B6EACC">
      <w:pPr>
        <w:pStyle w:val="36"/>
        <w:spacing w:line="360" w:lineRule="auto"/>
        <w:ind w:firstLine="0" w:firstLineChars="0"/>
        <w:jc w:val="center"/>
        <w:rPr>
          <w:rFonts w:ascii="宋体" w:hAnsi="宋体" w:eastAsia="宋体" w:cs="宋体"/>
          <w:b/>
          <w:bCs/>
          <w:sz w:val="52"/>
          <w:szCs w:val="36"/>
          <w:highlight w:val="none"/>
        </w:rPr>
      </w:pPr>
    </w:p>
    <w:p w14:paraId="34EB3B55">
      <w:pPr>
        <w:pStyle w:val="36"/>
        <w:spacing w:line="360" w:lineRule="auto"/>
        <w:ind w:firstLine="0" w:firstLineChars="0"/>
        <w:jc w:val="center"/>
        <w:rPr>
          <w:rFonts w:ascii="宋体" w:hAnsi="宋体" w:eastAsia="宋体" w:cs="宋体"/>
          <w:b/>
          <w:bCs/>
          <w:sz w:val="52"/>
          <w:szCs w:val="36"/>
          <w:highlight w:val="none"/>
        </w:rPr>
      </w:pPr>
      <w:r>
        <w:rPr>
          <w:rFonts w:hint="eastAsia" w:ascii="宋体" w:hAnsi="宋体" w:eastAsia="宋体" w:cs="宋体"/>
          <w:b/>
          <w:bCs/>
          <w:sz w:val="52"/>
          <w:szCs w:val="36"/>
          <w:highlight w:val="none"/>
        </w:rPr>
        <w:t>竞争性磋商文件</w:t>
      </w:r>
    </w:p>
    <w:p w14:paraId="25A38880">
      <w:pPr>
        <w:jc w:val="center"/>
        <w:rPr>
          <w:rFonts w:hint="eastAsia" w:ascii="宋体" w:hAnsi="宋体" w:eastAsia="宋体" w:cs="宋体"/>
          <w:b/>
          <w:bCs/>
          <w:sz w:val="28"/>
          <w:szCs w:val="28"/>
          <w:highlight w:val="none"/>
          <w:lang w:val="en-US" w:eastAsia="zh-CN"/>
        </w:rPr>
      </w:pPr>
    </w:p>
    <w:p w14:paraId="729C1F43">
      <w:pPr>
        <w:jc w:val="center"/>
        <w:rPr>
          <w:rFonts w:hint="eastAsia" w:ascii="宋体" w:hAnsi="宋体" w:eastAsia="宋体" w:cs="宋体"/>
          <w:b/>
          <w:bCs/>
          <w:sz w:val="28"/>
          <w:szCs w:val="28"/>
          <w:highlight w:val="none"/>
          <w:lang w:val="en-US" w:eastAsia="zh-CN"/>
        </w:rPr>
      </w:pPr>
    </w:p>
    <w:p w14:paraId="03D0ACD9">
      <w:pPr>
        <w:jc w:val="center"/>
        <w:rPr>
          <w:rFonts w:hint="eastAsia" w:ascii="宋体" w:hAnsi="宋体" w:eastAsia="宋体" w:cs="宋体"/>
          <w:b/>
          <w:bCs/>
          <w:sz w:val="28"/>
          <w:szCs w:val="28"/>
          <w:highlight w:val="none"/>
          <w:lang w:val="en-US" w:eastAsia="zh-CN"/>
        </w:rPr>
      </w:pPr>
    </w:p>
    <w:p w14:paraId="23B35123">
      <w:pPr>
        <w:jc w:val="center"/>
        <w:rPr>
          <w:rFonts w:hint="eastAsia" w:ascii="宋体" w:hAnsi="宋体" w:eastAsia="宋体" w:cs="宋体"/>
          <w:b/>
          <w:bCs/>
          <w:sz w:val="28"/>
          <w:szCs w:val="28"/>
          <w:highlight w:val="none"/>
          <w:lang w:val="en-US" w:eastAsia="zh-CN"/>
        </w:rPr>
      </w:pPr>
    </w:p>
    <w:p w14:paraId="189E9B2C">
      <w:pPr>
        <w:jc w:val="both"/>
        <w:rPr>
          <w:rFonts w:hint="eastAsia" w:ascii="宋体" w:hAnsi="宋体" w:eastAsia="宋体" w:cs="宋体"/>
          <w:b/>
          <w:bCs/>
          <w:sz w:val="28"/>
          <w:szCs w:val="28"/>
          <w:highlight w:val="none"/>
          <w:lang w:val="en-US" w:eastAsia="zh-CN"/>
        </w:rPr>
      </w:pPr>
    </w:p>
    <w:p w14:paraId="580533D1">
      <w:pPr>
        <w:jc w:val="center"/>
      </w:pPr>
      <w:bookmarkStart w:id="0" w:name="_Toc26093"/>
      <w:bookmarkStart w:id="1" w:name="_Toc31986"/>
      <w:bookmarkStart w:id="2" w:name="_Toc129703220"/>
      <w:r>
        <w:drawing>
          <wp:inline distT="0" distB="0" distL="114300" distR="114300">
            <wp:extent cx="5057775" cy="2828925"/>
            <wp:effectExtent l="0" t="0" r="952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5057775" cy="2828925"/>
                    </a:xfrm>
                    <a:prstGeom prst="rect">
                      <a:avLst/>
                    </a:prstGeom>
                    <a:noFill/>
                    <a:ln>
                      <a:noFill/>
                    </a:ln>
                  </pic:spPr>
                </pic:pic>
              </a:graphicData>
            </a:graphic>
          </wp:inline>
        </w:drawing>
      </w:r>
    </w:p>
    <w:p w14:paraId="4F59CF4D">
      <w:pPr>
        <w:jc w:val="center"/>
      </w:pPr>
    </w:p>
    <w:p w14:paraId="137B787A">
      <w:pPr>
        <w:jc w:val="center"/>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b/>
          <w:bCs/>
          <w:color w:val="000000" w:themeColor="text1"/>
          <w:kern w:val="0"/>
          <w:sz w:val="36"/>
          <w:szCs w:val="36"/>
          <w:highlight w:val="none"/>
          <w14:textFill>
            <w14:solidFill>
              <w14:schemeClr w14:val="tx1"/>
            </w14:solidFill>
          </w14:textFill>
        </w:rPr>
        <w:t>目 录</w:t>
      </w:r>
    </w:p>
    <w:p w14:paraId="44F5C404">
      <w:pPr>
        <w:pStyle w:val="24"/>
        <w:tabs>
          <w:tab w:val="right" w:leader="dot" w:pos="8504"/>
        </w:tabs>
        <w:spacing w:line="720" w:lineRule="auto"/>
        <w:rPr>
          <w:rFonts w:ascii="宋体" w:hAnsi="宋体" w:eastAsia="宋体" w:cs="宋体"/>
          <w:sz w:val="24"/>
          <w:highlight w:val="none"/>
        </w:rPr>
      </w:pPr>
      <w:r>
        <w:rPr>
          <w:rFonts w:hint="eastAsia" w:ascii="宋体" w:hAnsi="宋体" w:eastAsia="宋体" w:cs="宋体"/>
          <w:b/>
          <w:bCs/>
          <w:color w:val="000000" w:themeColor="text1"/>
          <w:kern w:val="0"/>
          <w:sz w:val="24"/>
          <w:highlight w:val="none"/>
          <w14:textFill>
            <w14:solidFill>
              <w14:schemeClr w14:val="tx1"/>
            </w14:solidFill>
          </w14:textFill>
        </w:rPr>
        <w:fldChar w:fldCharType="begin"/>
      </w:r>
      <w:r>
        <w:rPr>
          <w:rFonts w:hint="eastAsia" w:ascii="宋体" w:hAnsi="宋体" w:eastAsia="宋体" w:cs="宋体"/>
          <w:b/>
          <w:bCs/>
          <w:color w:val="000000" w:themeColor="text1"/>
          <w:kern w:val="0"/>
          <w:sz w:val="24"/>
          <w:highlight w:val="none"/>
          <w14:textFill>
            <w14:solidFill>
              <w14:schemeClr w14:val="tx1"/>
            </w14:solidFill>
          </w14:textFill>
        </w:rPr>
        <w:instrText xml:space="preserve">TOC \o "1-1" \h \u </w:instrText>
      </w:r>
      <w:r>
        <w:rPr>
          <w:rFonts w:hint="eastAsia" w:ascii="宋体" w:hAnsi="宋体" w:eastAsia="宋体" w:cs="宋体"/>
          <w:b/>
          <w:bCs/>
          <w:color w:val="000000" w:themeColor="text1"/>
          <w:kern w:val="0"/>
          <w:sz w:val="24"/>
          <w:highlight w:val="none"/>
          <w14:textFill>
            <w14:solidFill>
              <w14:schemeClr w14:val="tx1"/>
            </w14:solidFill>
          </w14:textFill>
        </w:rPr>
        <w:fldChar w:fldCharType="separate"/>
      </w:r>
      <w:r>
        <w:rPr>
          <w:highlight w:val="none"/>
        </w:rPr>
        <w:fldChar w:fldCharType="begin"/>
      </w:r>
      <w:r>
        <w:rPr>
          <w:highlight w:val="none"/>
        </w:rPr>
        <w:instrText xml:space="preserve"> HYPERLINK \l "_Toc7704" </w:instrText>
      </w:r>
      <w:r>
        <w:rPr>
          <w:highlight w:val="none"/>
        </w:rPr>
        <w:fldChar w:fldCharType="separate"/>
      </w:r>
      <w:r>
        <w:rPr>
          <w:rFonts w:hint="eastAsia" w:ascii="宋体" w:hAnsi="宋体" w:eastAsia="宋体" w:cs="宋体"/>
          <w:bCs/>
          <w:kern w:val="0"/>
          <w:sz w:val="24"/>
          <w:highlight w:val="none"/>
        </w:rPr>
        <w:t>第一章 竞争性磋商公告</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_Toc7704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3</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20BDC355">
      <w:pPr>
        <w:pStyle w:val="24"/>
        <w:tabs>
          <w:tab w:val="right" w:leader="dot" w:pos="8504"/>
        </w:tabs>
        <w:spacing w:line="720" w:lineRule="auto"/>
        <w:rPr>
          <w:rFonts w:hint="eastAsia" w:ascii="宋体" w:hAnsi="宋体" w:eastAsia="宋体" w:cs="宋体"/>
          <w:sz w:val="24"/>
          <w:highlight w:val="none"/>
          <w:lang w:val="en-US" w:eastAsia="zh-CN"/>
        </w:rPr>
      </w:pPr>
      <w:r>
        <w:rPr>
          <w:highlight w:val="none"/>
        </w:rPr>
        <w:fldChar w:fldCharType="begin"/>
      </w:r>
      <w:r>
        <w:rPr>
          <w:highlight w:val="none"/>
        </w:rPr>
        <w:instrText xml:space="preserve"> HYPERLINK \l "_Toc15287" </w:instrText>
      </w:r>
      <w:r>
        <w:rPr>
          <w:highlight w:val="none"/>
        </w:rPr>
        <w:fldChar w:fldCharType="separate"/>
      </w:r>
      <w:r>
        <w:rPr>
          <w:rFonts w:hint="eastAsia" w:ascii="宋体" w:hAnsi="宋体" w:eastAsia="宋体" w:cs="宋体"/>
          <w:bCs/>
          <w:kern w:val="0"/>
          <w:sz w:val="24"/>
          <w:highlight w:val="none"/>
        </w:rPr>
        <w:t>第二章 供应商须知</w:t>
      </w:r>
      <w:r>
        <w:rPr>
          <w:rFonts w:hint="eastAsia" w:ascii="宋体" w:hAnsi="宋体" w:eastAsia="宋体" w:cs="宋体"/>
          <w:sz w:val="24"/>
          <w:highlight w:val="none"/>
        </w:rPr>
        <w:tab/>
      </w:r>
      <w:r>
        <w:rPr>
          <w:rFonts w:hint="eastAsia" w:ascii="宋体" w:hAnsi="宋体" w:eastAsia="宋体" w:cs="宋体"/>
          <w:sz w:val="24"/>
          <w:highlight w:val="none"/>
          <w:lang w:val="en-US" w:eastAsia="zh-CN"/>
        </w:rPr>
        <w:t>1</w:t>
      </w:r>
      <w:r>
        <w:rPr>
          <w:rFonts w:hint="eastAsia" w:ascii="宋体" w:hAnsi="宋体" w:eastAsia="宋体" w:cs="宋体"/>
          <w:sz w:val="24"/>
          <w:highlight w:val="none"/>
        </w:rPr>
        <w:fldChar w:fldCharType="end"/>
      </w:r>
      <w:r>
        <w:rPr>
          <w:rFonts w:hint="eastAsia" w:ascii="宋体" w:hAnsi="宋体" w:eastAsia="宋体" w:cs="宋体"/>
          <w:sz w:val="24"/>
          <w:highlight w:val="none"/>
          <w:lang w:val="en-US" w:eastAsia="zh-CN"/>
        </w:rPr>
        <w:t>0</w:t>
      </w:r>
    </w:p>
    <w:p w14:paraId="2B9A3D56">
      <w:pPr>
        <w:pStyle w:val="24"/>
        <w:tabs>
          <w:tab w:val="right" w:leader="dot" w:pos="8504"/>
        </w:tabs>
        <w:spacing w:line="720" w:lineRule="auto"/>
        <w:rPr>
          <w:rFonts w:ascii="宋体" w:hAnsi="宋体" w:eastAsia="宋体" w:cs="宋体"/>
          <w:sz w:val="24"/>
          <w:highlight w:val="none"/>
        </w:rPr>
      </w:pPr>
      <w:r>
        <w:rPr>
          <w:highlight w:val="none"/>
        </w:rPr>
        <w:fldChar w:fldCharType="begin"/>
      </w:r>
      <w:r>
        <w:rPr>
          <w:highlight w:val="none"/>
        </w:rPr>
        <w:instrText xml:space="preserve"> HYPERLINK \l "_Toc19316" </w:instrText>
      </w:r>
      <w:r>
        <w:rPr>
          <w:highlight w:val="none"/>
        </w:rPr>
        <w:fldChar w:fldCharType="separate"/>
      </w:r>
      <w:r>
        <w:rPr>
          <w:rFonts w:hint="eastAsia" w:ascii="宋体" w:hAnsi="宋体" w:eastAsia="宋体" w:cs="宋体"/>
          <w:bCs/>
          <w:kern w:val="0"/>
          <w:sz w:val="24"/>
          <w:highlight w:val="none"/>
        </w:rPr>
        <w:t>第三章  采购内容及要求</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_Toc19316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38</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19CB615F">
      <w:pPr>
        <w:pStyle w:val="24"/>
        <w:tabs>
          <w:tab w:val="right" w:leader="dot" w:pos="8504"/>
        </w:tabs>
        <w:spacing w:line="720" w:lineRule="auto"/>
        <w:rPr>
          <w:rFonts w:hint="eastAsia" w:ascii="宋体" w:hAnsi="宋体" w:eastAsia="宋体" w:cs="宋体"/>
          <w:sz w:val="24"/>
          <w:highlight w:val="none"/>
          <w:lang w:val="en-US" w:eastAsia="zh-CN"/>
        </w:rPr>
      </w:pPr>
      <w:r>
        <w:rPr>
          <w:highlight w:val="none"/>
        </w:rPr>
        <w:fldChar w:fldCharType="begin"/>
      </w:r>
      <w:r>
        <w:rPr>
          <w:highlight w:val="none"/>
        </w:rPr>
        <w:instrText xml:space="preserve"> HYPERLINK \l "_Toc1636" </w:instrText>
      </w:r>
      <w:r>
        <w:rPr>
          <w:highlight w:val="none"/>
        </w:rPr>
        <w:fldChar w:fldCharType="separate"/>
      </w:r>
      <w:r>
        <w:rPr>
          <w:rFonts w:hint="eastAsia" w:ascii="宋体" w:hAnsi="宋体" w:eastAsia="宋体" w:cs="宋体"/>
          <w:bCs/>
          <w:sz w:val="24"/>
          <w:highlight w:val="none"/>
        </w:rPr>
        <w:t>第四章</w:t>
      </w:r>
      <w:r>
        <w:rPr>
          <w:rFonts w:hint="eastAsia" w:ascii="宋体" w:hAnsi="宋体" w:eastAsia="宋体" w:cs="宋体"/>
          <w:bCs/>
          <w:kern w:val="0"/>
          <w:sz w:val="24"/>
          <w:highlight w:val="none"/>
        </w:rPr>
        <w:t xml:space="preserve">  </w:t>
      </w:r>
      <w:r>
        <w:rPr>
          <w:rFonts w:hint="eastAsia" w:ascii="宋体" w:hAnsi="宋体" w:eastAsia="宋体" w:cs="宋体"/>
          <w:bCs/>
          <w:sz w:val="24"/>
          <w:highlight w:val="none"/>
        </w:rPr>
        <w:t>合同主要条款及格式</w:t>
      </w:r>
      <w:r>
        <w:rPr>
          <w:rFonts w:hint="eastAsia" w:ascii="宋体" w:hAnsi="宋体" w:eastAsia="宋体" w:cs="宋体"/>
          <w:sz w:val="24"/>
          <w:highlight w:val="none"/>
        </w:rPr>
        <w:tab/>
      </w:r>
      <w:r>
        <w:rPr>
          <w:rFonts w:hint="eastAsia" w:ascii="宋体" w:hAnsi="宋体" w:eastAsia="宋体" w:cs="宋体"/>
          <w:sz w:val="24"/>
          <w:highlight w:val="none"/>
          <w:lang w:val="en-US" w:eastAsia="zh-CN"/>
        </w:rPr>
        <w:t>4</w:t>
      </w:r>
      <w:r>
        <w:rPr>
          <w:rFonts w:hint="eastAsia" w:ascii="宋体" w:hAnsi="宋体" w:eastAsia="宋体" w:cs="宋体"/>
          <w:sz w:val="24"/>
          <w:highlight w:val="none"/>
        </w:rPr>
        <w:fldChar w:fldCharType="end"/>
      </w:r>
      <w:r>
        <w:rPr>
          <w:rFonts w:hint="eastAsia" w:ascii="宋体" w:hAnsi="宋体" w:eastAsia="宋体" w:cs="宋体"/>
          <w:sz w:val="24"/>
          <w:highlight w:val="none"/>
          <w:lang w:val="en-US" w:eastAsia="zh-CN"/>
        </w:rPr>
        <w:t>2</w:t>
      </w:r>
    </w:p>
    <w:p w14:paraId="66BD7A08">
      <w:pPr>
        <w:pStyle w:val="24"/>
        <w:tabs>
          <w:tab w:val="right" w:leader="dot" w:pos="8504"/>
        </w:tabs>
        <w:spacing w:line="720" w:lineRule="auto"/>
        <w:rPr>
          <w:rFonts w:ascii="宋体" w:hAnsi="宋体" w:eastAsia="宋体" w:cs="宋体"/>
          <w:sz w:val="24"/>
          <w:highlight w:val="none"/>
        </w:rPr>
      </w:pPr>
      <w:r>
        <w:rPr>
          <w:highlight w:val="none"/>
        </w:rPr>
        <w:fldChar w:fldCharType="begin"/>
      </w:r>
      <w:r>
        <w:rPr>
          <w:highlight w:val="none"/>
        </w:rPr>
        <w:instrText xml:space="preserve"> HYPERLINK \l "_Toc27469" </w:instrText>
      </w:r>
      <w:r>
        <w:rPr>
          <w:highlight w:val="none"/>
        </w:rPr>
        <w:fldChar w:fldCharType="separate"/>
      </w:r>
      <w:r>
        <w:rPr>
          <w:rFonts w:hint="eastAsia" w:ascii="宋体" w:hAnsi="宋体" w:eastAsia="宋体" w:cs="宋体"/>
          <w:bCs/>
          <w:kern w:val="0"/>
          <w:sz w:val="24"/>
          <w:highlight w:val="none"/>
        </w:rPr>
        <w:t>第五章 响应文件格式</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_Toc27469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46</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6519E6E9">
      <w:pPr>
        <w:tabs>
          <w:tab w:val="left" w:pos="1245"/>
        </w:tabs>
        <w:spacing w:line="720" w:lineRule="auto"/>
        <w:jc w:val="center"/>
        <w:rPr>
          <w:rFonts w:ascii="宋体" w:hAnsi="宋体" w:eastAsia="宋体" w:cs="宋体"/>
          <w:b/>
          <w:bCs/>
          <w:color w:val="000000" w:themeColor="text1"/>
          <w:kern w:val="0"/>
          <w:sz w:val="36"/>
          <w:szCs w:val="36"/>
          <w:highlight w:val="none"/>
          <w14:textFill>
            <w14:solidFill>
              <w14:schemeClr w14:val="tx1"/>
            </w14:solidFill>
          </w14:textFill>
        </w:rPr>
        <w:sectPr>
          <w:footerReference r:id="rId4" w:type="first"/>
          <w:footerReference r:id="rId3" w:type="default"/>
          <w:pgSz w:w="11906" w:h="16838"/>
          <w:pgMar w:top="1440" w:right="1701" w:bottom="1440" w:left="1701" w:header="851" w:footer="680" w:gutter="0"/>
          <w:pgNumType w:fmt="decimal" w:start="1" w:chapStyle="1"/>
          <w:cols w:space="720" w:num="1"/>
          <w:docGrid w:type="lines" w:linePitch="312" w:charSpace="0"/>
        </w:sectPr>
      </w:pPr>
      <w:r>
        <w:rPr>
          <w:rFonts w:hint="eastAsia" w:ascii="宋体" w:hAnsi="宋体" w:eastAsia="宋体" w:cs="宋体"/>
          <w:bCs/>
          <w:color w:val="000000" w:themeColor="text1"/>
          <w:kern w:val="0"/>
          <w:szCs w:val="24"/>
          <w:highlight w:val="none"/>
          <w14:textFill>
            <w14:solidFill>
              <w14:schemeClr w14:val="tx1"/>
            </w14:solidFill>
          </w14:textFill>
        </w:rPr>
        <w:fldChar w:fldCharType="end"/>
      </w:r>
    </w:p>
    <w:bookmarkEnd w:id="0"/>
    <w:p w14:paraId="4D22E105">
      <w:pPr>
        <w:numPr>
          <w:numId w:val="0"/>
        </w:numPr>
        <w:tabs>
          <w:tab w:val="left" w:pos="1245"/>
        </w:tabs>
        <w:ind w:firstLine="2891" w:firstLineChars="800"/>
        <w:jc w:val="both"/>
        <w:outlineLvl w:val="0"/>
        <w:rPr>
          <w:rFonts w:hint="eastAsia" w:ascii="宋体" w:hAnsi="宋体" w:eastAsia="宋体" w:cs="宋体"/>
          <w:szCs w:val="24"/>
          <w:highlight w:val="none"/>
        </w:rPr>
      </w:pPr>
      <w:bookmarkStart w:id="3" w:name="_Toc7704"/>
      <w:bookmarkStart w:id="135" w:name="_GoBack"/>
      <w:bookmarkEnd w:id="135"/>
      <w:r>
        <w:rPr>
          <w:rFonts w:hint="eastAsia" w:ascii="宋体" w:hAnsi="宋体" w:eastAsia="宋体" w:cs="宋体"/>
          <w:b/>
          <w:bCs/>
          <w:color w:val="000000" w:themeColor="text1"/>
          <w:kern w:val="0"/>
          <w:sz w:val="36"/>
          <w:szCs w:val="36"/>
          <w:highlight w:val="none"/>
          <w:lang w:val="en-US" w:eastAsia="zh-CN"/>
          <w14:textFill>
            <w14:solidFill>
              <w14:schemeClr w14:val="tx1"/>
            </w14:solidFill>
          </w14:textFill>
        </w:rPr>
        <w:t xml:space="preserve">第一章 </w:t>
      </w:r>
      <w:r>
        <w:rPr>
          <w:rFonts w:hint="eastAsia" w:ascii="宋体" w:hAnsi="宋体" w:eastAsia="宋体" w:cs="宋体"/>
          <w:b/>
          <w:bCs/>
          <w:color w:val="000000" w:themeColor="text1"/>
          <w:kern w:val="0"/>
          <w:sz w:val="36"/>
          <w:szCs w:val="36"/>
          <w:highlight w:val="none"/>
          <w14:textFill>
            <w14:solidFill>
              <w14:schemeClr w14:val="tx1"/>
            </w14:solidFill>
          </w14:textFill>
        </w:rPr>
        <w:t>竞争性磋商公告</w:t>
      </w:r>
      <w:bookmarkEnd w:id="1"/>
      <w:bookmarkEnd w:id="2"/>
      <w:bookmarkEnd w:id="3"/>
      <w:r>
        <w:rPr>
          <w:rFonts w:hint="eastAsia" w:ascii="宋体" w:hAnsi="宋体" w:eastAsia="宋体" w:cs="宋体"/>
          <w:szCs w:val="24"/>
          <w:highlight w:val="none"/>
        </w:rPr>
        <w:t xml:space="preserve">  </w:t>
      </w:r>
    </w:p>
    <w:p w14:paraId="2FC9B971">
      <w:pPr>
        <w:widowControl/>
        <w:shd w:val="clear" w:color="auto" w:fill="FFFFFF"/>
        <w:spacing w:line="500" w:lineRule="exact"/>
        <w:jc w:val="center"/>
        <w:rPr>
          <w:rFonts w:hint="eastAsia" w:asciiTheme="majorEastAsia" w:hAnsiTheme="majorEastAsia" w:eastAsiaTheme="majorEastAsia" w:cstheme="majorEastAsia"/>
          <w:b/>
          <w:bCs/>
          <w:kern w:val="0"/>
          <w:sz w:val="28"/>
          <w:szCs w:val="28"/>
          <w:highlight w:val="none"/>
          <w:shd w:val="clear" w:color="auto" w:fill="FFFFFF"/>
          <w:lang w:eastAsia="zh-CN" w:bidi="ar"/>
        </w:rPr>
      </w:pPr>
      <w:r>
        <w:rPr>
          <w:rFonts w:hint="eastAsia" w:ascii="宋体" w:hAnsi="宋体" w:eastAsia="宋体" w:cs="宋体"/>
          <w:szCs w:val="24"/>
          <w:highlight w:val="none"/>
          <w:lang w:val="en-US" w:eastAsia="zh-CN"/>
        </w:rPr>
        <w:t xml:space="preserve"> </w:t>
      </w:r>
      <w:r>
        <w:rPr>
          <w:rFonts w:hint="eastAsia" w:asciiTheme="majorEastAsia" w:hAnsiTheme="majorEastAsia" w:eastAsiaTheme="majorEastAsia" w:cstheme="majorEastAsia"/>
          <w:b/>
          <w:bCs/>
          <w:kern w:val="0"/>
          <w:sz w:val="28"/>
          <w:szCs w:val="28"/>
          <w:highlight w:val="none"/>
          <w:shd w:val="clear" w:color="auto" w:fill="FFFFFF"/>
          <w:lang w:eastAsia="zh-CN" w:bidi="ar"/>
        </w:rPr>
        <w:t>千阳县民政局居家和社区基本养老服务提升行动项目</w:t>
      </w:r>
    </w:p>
    <w:p w14:paraId="2680C3B4">
      <w:pPr>
        <w:widowControl/>
        <w:shd w:val="clear" w:color="auto" w:fill="FFFFFF"/>
        <w:spacing w:line="500" w:lineRule="exact"/>
        <w:jc w:val="center"/>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kern w:val="0"/>
          <w:sz w:val="24"/>
          <w:szCs w:val="24"/>
          <w:highlight w:val="none"/>
          <w:shd w:val="clear" w:color="auto" w:fill="FFFFFF"/>
          <w:lang w:bidi="ar"/>
        </w:rPr>
        <w:t>竞争性磋商公告</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377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0" w:type="dxa"/>
          </w:tcPr>
          <w:p w14:paraId="32318CD1">
            <w:pPr>
              <w:widowControl/>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项目概况</w:t>
            </w:r>
          </w:p>
          <w:p w14:paraId="49ED9BC8">
            <w:pPr>
              <w:pStyle w:val="32"/>
              <w:widowControl/>
              <w:wordWrap w:val="0"/>
              <w:spacing w:line="560" w:lineRule="exact"/>
              <w:ind w:firstLine="480"/>
              <w:jc w:val="both"/>
              <w:rPr>
                <w:rStyle w:val="40"/>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eastAsia="zh-CN"/>
              </w:rPr>
              <w:t>居家和社区基本养老服务提升行动项目</w:t>
            </w:r>
            <w:r>
              <w:rPr>
                <w:rFonts w:hint="eastAsia" w:asciiTheme="majorEastAsia" w:hAnsiTheme="majorEastAsia" w:eastAsiaTheme="majorEastAsia" w:cstheme="majorEastAsia"/>
                <w:sz w:val="24"/>
                <w:szCs w:val="24"/>
                <w:highlight w:val="none"/>
                <w:shd w:val="clear" w:color="auto" w:fill="FFFFFF"/>
              </w:rPr>
              <w:t>采购项目的潜在供应商应在【全国公共资源交易平台（陕西省·宝鸡市）】（</w:t>
            </w:r>
            <w:r>
              <w:rPr>
                <w:rFonts w:hint="eastAsia" w:asciiTheme="majorEastAsia" w:hAnsiTheme="majorEastAsia" w:eastAsiaTheme="majorEastAsia" w:cstheme="majorEastAsia"/>
                <w:sz w:val="24"/>
                <w:szCs w:val="24"/>
                <w:highlight w:val="none"/>
                <w:shd w:val="clear" w:color="auto" w:fill="FFFFFF"/>
                <w:lang w:eastAsia="zh-CN"/>
              </w:rPr>
              <w:t>http://ggzy.baoji.gov.cn/</w:t>
            </w:r>
            <w:r>
              <w:rPr>
                <w:rFonts w:hint="eastAsia" w:asciiTheme="majorEastAsia" w:hAnsiTheme="majorEastAsia" w:eastAsiaTheme="majorEastAsia" w:cstheme="majorEastAsia"/>
                <w:sz w:val="24"/>
                <w:szCs w:val="24"/>
                <w:highlight w:val="none"/>
                <w:shd w:val="clear" w:color="auto" w:fill="FFFFFF"/>
              </w:rPr>
              <w:t>）获取采购文件，并于202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30</w:t>
            </w:r>
            <w:r>
              <w:rPr>
                <w:rFonts w:hint="eastAsia" w:asciiTheme="majorEastAsia" w:hAnsiTheme="majorEastAsia" w:eastAsiaTheme="majorEastAsia" w:cstheme="majorEastAsia"/>
                <w:sz w:val="24"/>
                <w:szCs w:val="24"/>
                <w:highlight w:val="none"/>
                <w:shd w:val="clear" w:color="auto" w:fill="FFFFFF"/>
              </w:rPr>
              <w:t>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0分（北京时间）前提交响应文件。</w:t>
            </w:r>
          </w:p>
        </w:tc>
      </w:tr>
    </w:tbl>
    <w:p w14:paraId="53A43D25">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一、项目基本情况</w:t>
      </w:r>
    </w:p>
    <w:p w14:paraId="1C68EC47">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lang w:eastAsia="zh-CN"/>
        </w:rPr>
      </w:pPr>
      <w:r>
        <w:rPr>
          <w:rStyle w:val="40"/>
          <w:rFonts w:hint="eastAsia" w:asciiTheme="majorEastAsia" w:hAnsiTheme="majorEastAsia" w:eastAsiaTheme="majorEastAsia" w:cstheme="majorEastAsia"/>
          <w:b w:val="0"/>
          <w:bCs w:val="0"/>
          <w:sz w:val="24"/>
          <w:szCs w:val="24"/>
          <w:highlight w:val="none"/>
          <w:shd w:val="clear" w:color="auto" w:fill="FFFFFF"/>
        </w:rPr>
        <w:t>项目编号：</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HDZX2025（027）CG</w:t>
      </w:r>
    </w:p>
    <w:p w14:paraId="2CCA2838">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lang w:eastAsia="zh-CN"/>
        </w:rPr>
      </w:pPr>
      <w:r>
        <w:rPr>
          <w:rStyle w:val="40"/>
          <w:rFonts w:hint="eastAsia" w:asciiTheme="majorEastAsia" w:hAnsiTheme="majorEastAsia" w:eastAsiaTheme="majorEastAsia" w:cstheme="majorEastAsia"/>
          <w:b w:val="0"/>
          <w:bCs w:val="0"/>
          <w:sz w:val="24"/>
          <w:szCs w:val="24"/>
          <w:highlight w:val="none"/>
          <w:shd w:val="clear" w:color="auto" w:fill="FFFFFF"/>
        </w:rPr>
        <w:t>项目名称：</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居家和社区基本养老服务提升行动项目</w:t>
      </w:r>
    </w:p>
    <w:p w14:paraId="4020DC05">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采购方式：竞争性磋商</w:t>
      </w:r>
    </w:p>
    <w:p w14:paraId="7E45FE33">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预算金额：</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627</w:t>
      </w:r>
      <w:r>
        <w:rPr>
          <w:rStyle w:val="40"/>
          <w:rFonts w:hint="eastAsia" w:asciiTheme="majorEastAsia" w:hAnsiTheme="majorEastAsia" w:eastAsiaTheme="majorEastAsia" w:cstheme="majorEastAsia"/>
          <w:b w:val="0"/>
          <w:bCs w:val="0"/>
          <w:sz w:val="24"/>
          <w:szCs w:val="24"/>
          <w:highlight w:val="none"/>
          <w:shd w:val="clear" w:color="auto" w:fill="FFFFFF"/>
        </w:rPr>
        <w:t>,000.00元</w:t>
      </w:r>
    </w:p>
    <w:p w14:paraId="4F0BDA9F">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采购需求：</w:t>
      </w:r>
    </w:p>
    <w:p w14:paraId="48CE32E6">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合同包1(</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居家和社区基本养老服务提升行动项目Ⅰ标段</w:t>
      </w:r>
      <w:r>
        <w:rPr>
          <w:rStyle w:val="40"/>
          <w:rFonts w:hint="eastAsia" w:asciiTheme="majorEastAsia" w:hAnsiTheme="majorEastAsia" w:eastAsiaTheme="majorEastAsia" w:cstheme="majorEastAsia"/>
          <w:b w:val="0"/>
          <w:bCs w:val="0"/>
          <w:sz w:val="24"/>
          <w:szCs w:val="24"/>
          <w:highlight w:val="none"/>
          <w:shd w:val="clear" w:color="auto" w:fill="FFFFFF"/>
        </w:rPr>
        <w:t>):</w:t>
      </w:r>
    </w:p>
    <w:p w14:paraId="396E829C">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合同包预算金额：</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342</w:t>
      </w:r>
      <w:r>
        <w:rPr>
          <w:rStyle w:val="40"/>
          <w:rFonts w:hint="eastAsia" w:asciiTheme="majorEastAsia" w:hAnsiTheme="majorEastAsia" w:eastAsiaTheme="majorEastAsia" w:cstheme="majorEastAsia"/>
          <w:b w:val="0"/>
          <w:bCs w:val="0"/>
          <w:sz w:val="24"/>
          <w:szCs w:val="24"/>
          <w:highlight w:val="none"/>
          <w:shd w:val="clear" w:color="auto" w:fill="FFFFFF"/>
        </w:rPr>
        <w:t>,000.00元</w:t>
      </w:r>
    </w:p>
    <w:p w14:paraId="00FE0EB1">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最高限价</w:t>
      </w:r>
      <w:r>
        <w:rPr>
          <w:rStyle w:val="40"/>
          <w:rFonts w:hint="eastAsia" w:asciiTheme="majorEastAsia" w:hAnsiTheme="majorEastAsia" w:eastAsiaTheme="majorEastAsia" w:cstheme="majorEastAsia"/>
          <w:b w:val="0"/>
          <w:bCs w:val="0"/>
          <w:sz w:val="24"/>
          <w:szCs w:val="24"/>
          <w:highlight w:val="none"/>
          <w:shd w:val="clear" w:color="auto" w:fill="FFFFFF"/>
        </w:rPr>
        <w:t>：</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342</w:t>
      </w:r>
      <w:r>
        <w:rPr>
          <w:rStyle w:val="40"/>
          <w:rFonts w:hint="eastAsia" w:asciiTheme="majorEastAsia" w:hAnsiTheme="majorEastAsia" w:eastAsiaTheme="majorEastAsia" w:cstheme="majorEastAsia"/>
          <w:b w:val="0"/>
          <w:bCs w:val="0"/>
          <w:sz w:val="24"/>
          <w:szCs w:val="24"/>
          <w:highlight w:val="none"/>
          <w:shd w:val="clear" w:color="auto" w:fill="FFFFFF"/>
        </w:rPr>
        <w:t>,000.00元</w:t>
      </w:r>
    </w:p>
    <w:tbl>
      <w:tblPr>
        <w:tblStyle w:val="37"/>
        <w:tblW w:w="920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29"/>
        <w:gridCol w:w="1524"/>
        <w:gridCol w:w="2223"/>
        <w:gridCol w:w="1136"/>
        <w:gridCol w:w="1823"/>
        <w:gridCol w:w="1665"/>
      </w:tblGrid>
      <w:tr w14:paraId="6B48D7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349" w:hRule="atLeast"/>
          <w:tblHeader/>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595612B">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品目号</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5377B2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品目名称</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30F037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采购标的</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E3203FE">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数量</w:t>
            </w:r>
          </w:p>
          <w:p w14:paraId="76E5E1B0">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（单位）</w:t>
            </w:r>
          </w:p>
        </w:tc>
        <w:tc>
          <w:tcPr>
            <w:tcW w:w="18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60A0641">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技术规格、参数及要求</w:t>
            </w:r>
          </w:p>
        </w:tc>
        <w:tc>
          <w:tcPr>
            <w:tcW w:w="166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F1714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品目预算(元)</w:t>
            </w:r>
          </w:p>
        </w:tc>
      </w:tr>
      <w:tr w14:paraId="0417F14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66" w:hRule="atLeast"/>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311CCCC">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1-1</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C809F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养老服务</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B0478EE">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居家养老上门服务</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771F0A5">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1(项)</w:t>
            </w:r>
          </w:p>
        </w:tc>
        <w:tc>
          <w:tcPr>
            <w:tcW w:w="18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B47BD8A">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详见采购文件</w:t>
            </w:r>
          </w:p>
        </w:tc>
        <w:tc>
          <w:tcPr>
            <w:tcW w:w="166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CACCE89">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342</w:t>
            </w:r>
            <w:r>
              <w:rPr>
                <w:rStyle w:val="40"/>
                <w:rFonts w:hint="eastAsia" w:asciiTheme="majorEastAsia" w:hAnsiTheme="majorEastAsia" w:eastAsiaTheme="majorEastAsia" w:cstheme="majorEastAsia"/>
                <w:b w:val="0"/>
                <w:bCs w:val="0"/>
                <w:sz w:val="24"/>
                <w:szCs w:val="24"/>
                <w:highlight w:val="none"/>
                <w:shd w:val="clear" w:color="auto" w:fill="FFFFFF"/>
              </w:rPr>
              <w:t>,000.00</w:t>
            </w:r>
          </w:p>
        </w:tc>
      </w:tr>
    </w:tbl>
    <w:p w14:paraId="6F0B9859">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本合同包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不</w:t>
      </w:r>
      <w:r>
        <w:rPr>
          <w:rStyle w:val="40"/>
          <w:rFonts w:hint="eastAsia" w:asciiTheme="majorEastAsia" w:hAnsiTheme="majorEastAsia" w:eastAsiaTheme="majorEastAsia" w:cstheme="majorEastAsia"/>
          <w:b w:val="0"/>
          <w:bCs w:val="0"/>
          <w:sz w:val="24"/>
          <w:szCs w:val="24"/>
          <w:highlight w:val="none"/>
          <w:shd w:val="clear" w:color="auto" w:fill="FFFFFF"/>
        </w:rPr>
        <w:t>接受联合体投标</w:t>
      </w:r>
    </w:p>
    <w:p w14:paraId="33EA35B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rPr>
        <w:t>合同履行期限：自签订合同之日起</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1年（具体服务起止日期可随合同签订时间相应顺延）</w:t>
      </w:r>
    </w:p>
    <w:p w14:paraId="0EB8D82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Fonts w:hint="eastAsia" w:ascii="宋体" w:hAnsi="宋体" w:eastAsia="宋体"/>
          <w:color w:val="000000"/>
        </w:rPr>
        <w:t>合同包</w:t>
      </w:r>
      <w:r>
        <w:rPr>
          <w:rFonts w:hint="eastAsia" w:ascii="宋体" w:hAnsi="宋体" w:eastAsia="宋体"/>
          <w:color w:val="000000"/>
          <w:lang w:val="en-US" w:eastAsia="zh-CN"/>
        </w:rPr>
        <w:t>2</w:t>
      </w:r>
      <w:r>
        <w:rPr>
          <w:rStyle w:val="40"/>
          <w:rFonts w:hint="eastAsia" w:asciiTheme="majorEastAsia" w:hAnsiTheme="majorEastAsia" w:eastAsiaTheme="majorEastAsia" w:cstheme="majorEastAsia"/>
          <w:b w:val="0"/>
          <w:bCs w:val="0"/>
          <w:sz w:val="24"/>
          <w:szCs w:val="24"/>
          <w:highlight w:val="none"/>
          <w:shd w:val="clear" w:color="auto" w:fill="FFFFFF"/>
        </w:rPr>
        <w:t>(</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居家和社区基本养老服务提升行动项目</w:t>
      </w:r>
      <w:r>
        <w:rPr>
          <w:rStyle w:val="40"/>
          <w:rFonts w:hint="eastAsia" w:ascii="宋体" w:hAnsi="宋体" w:eastAsia="宋体" w:cs="宋体"/>
          <w:b w:val="0"/>
          <w:bCs w:val="0"/>
          <w:sz w:val="24"/>
          <w:szCs w:val="24"/>
          <w:highlight w:val="none"/>
          <w:shd w:val="clear" w:color="auto" w:fill="FFFFFF"/>
          <w:lang w:eastAsia="zh-CN"/>
        </w:rPr>
        <w:t>Ⅱ</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标段</w:t>
      </w:r>
      <w:r>
        <w:rPr>
          <w:rStyle w:val="40"/>
          <w:rFonts w:hint="eastAsia" w:asciiTheme="majorEastAsia" w:hAnsiTheme="majorEastAsia" w:eastAsiaTheme="majorEastAsia" w:cstheme="majorEastAsia"/>
          <w:b w:val="0"/>
          <w:bCs w:val="0"/>
          <w:sz w:val="24"/>
          <w:szCs w:val="24"/>
          <w:highlight w:val="none"/>
          <w:shd w:val="clear" w:color="auto" w:fill="FFFFFF"/>
        </w:rPr>
        <w:t>):</w:t>
      </w:r>
    </w:p>
    <w:p w14:paraId="5514DDD8">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合同包预算金额：</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285</w:t>
      </w:r>
      <w:r>
        <w:rPr>
          <w:rStyle w:val="40"/>
          <w:rFonts w:hint="eastAsia" w:asciiTheme="majorEastAsia" w:hAnsiTheme="majorEastAsia" w:eastAsiaTheme="majorEastAsia" w:cstheme="majorEastAsia"/>
          <w:b w:val="0"/>
          <w:bCs w:val="0"/>
          <w:sz w:val="24"/>
          <w:szCs w:val="24"/>
          <w:highlight w:val="none"/>
          <w:shd w:val="clear" w:color="auto" w:fill="FFFFFF"/>
        </w:rPr>
        <w:t>,000.00元</w:t>
      </w:r>
    </w:p>
    <w:p w14:paraId="142A215C">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最高限价</w:t>
      </w:r>
      <w:r>
        <w:rPr>
          <w:rStyle w:val="40"/>
          <w:rFonts w:hint="eastAsia" w:asciiTheme="majorEastAsia" w:hAnsiTheme="majorEastAsia" w:eastAsiaTheme="majorEastAsia" w:cstheme="majorEastAsia"/>
          <w:b w:val="0"/>
          <w:bCs w:val="0"/>
          <w:sz w:val="24"/>
          <w:szCs w:val="24"/>
          <w:highlight w:val="none"/>
          <w:shd w:val="clear" w:color="auto" w:fill="FFFFFF"/>
        </w:rPr>
        <w:t>：</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285</w:t>
      </w:r>
      <w:r>
        <w:rPr>
          <w:rStyle w:val="40"/>
          <w:rFonts w:hint="eastAsia" w:asciiTheme="majorEastAsia" w:hAnsiTheme="majorEastAsia" w:eastAsiaTheme="majorEastAsia" w:cstheme="majorEastAsia"/>
          <w:b w:val="0"/>
          <w:bCs w:val="0"/>
          <w:sz w:val="24"/>
          <w:szCs w:val="24"/>
          <w:highlight w:val="none"/>
          <w:shd w:val="clear" w:color="auto" w:fill="FFFFFF"/>
        </w:rPr>
        <w:t>,000.00元</w:t>
      </w:r>
    </w:p>
    <w:tbl>
      <w:tblPr>
        <w:tblStyle w:val="37"/>
        <w:tblW w:w="9215"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29"/>
        <w:gridCol w:w="1524"/>
        <w:gridCol w:w="2223"/>
        <w:gridCol w:w="1136"/>
        <w:gridCol w:w="1872"/>
        <w:gridCol w:w="1631"/>
      </w:tblGrid>
      <w:tr w14:paraId="49A2C4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349" w:hRule="atLeast"/>
          <w:tblHeader/>
          <w:jc w:val="center"/>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0210B1A">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品目号</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0896EF3">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品目名称</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9DAE95B">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采购标的</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D2A6D03">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数量</w:t>
            </w:r>
          </w:p>
          <w:p w14:paraId="5F75B334">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（单位）</w:t>
            </w:r>
          </w:p>
        </w:tc>
        <w:tc>
          <w:tcPr>
            <w:tcW w:w="187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B5FB3EA">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技术规格、参数及要求</w:t>
            </w:r>
          </w:p>
        </w:tc>
        <w:tc>
          <w:tcPr>
            <w:tcW w:w="16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10BFEA9">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品目预算(元)</w:t>
            </w:r>
          </w:p>
        </w:tc>
      </w:tr>
      <w:tr w14:paraId="1E64F2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66" w:hRule="atLeast"/>
          <w:jc w:val="center"/>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73EE51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default" w:asciiTheme="majorEastAsia" w:hAnsiTheme="majorEastAsia" w:eastAsiaTheme="majorEastAsia" w:cstheme="majorEastAsia"/>
                <w:b w:val="0"/>
                <w:bCs w:val="0"/>
                <w:sz w:val="24"/>
                <w:szCs w:val="24"/>
                <w:highlight w:val="none"/>
                <w:shd w:val="clear" w:color="auto" w:fill="FFFFFF"/>
                <w:lang w:val="en-US"/>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2-1</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BDF1476">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养老服务</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EA52190">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家庭养老床位改造</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F0E665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1(项)</w:t>
            </w:r>
          </w:p>
        </w:tc>
        <w:tc>
          <w:tcPr>
            <w:tcW w:w="187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0BDEB3E">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详见采购文件</w:t>
            </w:r>
          </w:p>
        </w:tc>
        <w:tc>
          <w:tcPr>
            <w:tcW w:w="16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35FEF4C">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285</w:t>
            </w:r>
            <w:r>
              <w:rPr>
                <w:rStyle w:val="40"/>
                <w:rFonts w:hint="eastAsia" w:asciiTheme="majorEastAsia" w:hAnsiTheme="majorEastAsia" w:eastAsiaTheme="majorEastAsia" w:cstheme="majorEastAsia"/>
                <w:b w:val="0"/>
                <w:bCs w:val="0"/>
                <w:sz w:val="24"/>
                <w:szCs w:val="24"/>
                <w:highlight w:val="none"/>
                <w:shd w:val="clear" w:color="auto" w:fill="FFFFFF"/>
              </w:rPr>
              <w:t>,000.00</w:t>
            </w:r>
          </w:p>
        </w:tc>
      </w:tr>
    </w:tbl>
    <w:p w14:paraId="7EF0EE5D">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本合同包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不</w:t>
      </w:r>
      <w:r>
        <w:rPr>
          <w:rStyle w:val="40"/>
          <w:rFonts w:hint="eastAsia" w:asciiTheme="majorEastAsia" w:hAnsiTheme="majorEastAsia" w:eastAsiaTheme="majorEastAsia" w:cstheme="majorEastAsia"/>
          <w:b w:val="0"/>
          <w:bCs w:val="0"/>
          <w:sz w:val="24"/>
          <w:szCs w:val="24"/>
          <w:highlight w:val="none"/>
          <w:shd w:val="clear" w:color="auto" w:fill="FFFFFF"/>
        </w:rPr>
        <w:t>接受联合体投标</w:t>
      </w:r>
    </w:p>
    <w:p w14:paraId="01395D9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rPr>
        <w:t>合同履行期限：</w:t>
      </w:r>
      <w:r>
        <w:rPr>
          <w:rStyle w:val="40"/>
          <w:rFonts w:hint="eastAsia" w:ascii="宋体" w:hAnsi="宋体" w:eastAsia="宋体" w:cs="宋体"/>
          <w:b w:val="0"/>
          <w:bCs w:val="0"/>
          <w:szCs w:val="24"/>
          <w:highlight w:val="none"/>
          <w:shd w:val="clear" w:color="auto" w:fill="FFFFFF"/>
        </w:rPr>
        <w:t>自签订合同之日起</w:t>
      </w:r>
      <w:r>
        <w:rPr>
          <w:rStyle w:val="40"/>
          <w:rFonts w:hint="eastAsia" w:ascii="宋体" w:hAnsi="宋体" w:eastAsia="宋体" w:cs="宋体"/>
          <w:b w:val="0"/>
          <w:bCs w:val="0"/>
          <w:szCs w:val="24"/>
          <w:highlight w:val="none"/>
          <w:shd w:val="clear" w:color="auto" w:fill="FFFFFF"/>
          <w:lang w:val="en-US" w:eastAsia="zh-CN"/>
        </w:rPr>
        <w:t>45日历天（</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具体服务起止日期可随合同签订时间相应顺延）</w:t>
      </w:r>
    </w:p>
    <w:p w14:paraId="4B160D78">
      <w:pPr>
        <w:pStyle w:val="32"/>
        <w:widowControl/>
        <w:wordWrap w:val="0"/>
        <w:spacing w:line="560" w:lineRule="exact"/>
        <w:jc w:val="both"/>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二、申请人的资格要求：</w:t>
      </w:r>
    </w:p>
    <w:p w14:paraId="0A45E7C2">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1.满足《中华人民共和国政府采购法》第二十二条规定;</w:t>
      </w:r>
    </w:p>
    <w:p w14:paraId="1EB240C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2.落实政府采购政策需满足的资格要求：</w:t>
      </w:r>
    </w:p>
    <w:p w14:paraId="3D2F2D23">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合同包1(</w:t>
      </w:r>
      <w:r>
        <w:rPr>
          <w:rFonts w:hint="eastAsia" w:asciiTheme="majorEastAsia" w:hAnsiTheme="majorEastAsia" w:eastAsiaTheme="majorEastAsia" w:cstheme="majorEastAsia"/>
          <w:sz w:val="24"/>
          <w:szCs w:val="24"/>
          <w:highlight w:val="none"/>
          <w:shd w:val="clear" w:color="auto" w:fill="FFFFFF"/>
          <w:lang w:eastAsia="zh-CN"/>
        </w:rPr>
        <w:t>居家和社区基本养老服务提升行动项目Ⅰ标段</w:t>
      </w:r>
      <w:r>
        <w:rPr>
          <w:rFonts w:hint="eastAsia" w:asciiTheme="majorEastAsia" w:hAnsiTheme="majorEastAsia" w:eastAsiaTheme="majorEastAsia" w:cstheme="majorEastAsia"/>
          <w:sz w:val="24"/>
          <w:szCs w:val="24"/>
          <w:highlight w:val="none"/>
          <w:shd w:val="clear" w:color="auto" w:fill="FFFFFF"/>
        </w:rPr>
        <w:t>)落实政府采购政策需满足的资格要求如下:</w:t>
      </w:r>
    </w:p>
    <w:p w14:paraId="13EDC7D4">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1）《财政部、司法部关于政府采购支持监狱企业发展有关问题的通知》（财库[2014]68号）；</w:t>
      </w:r>
    </w:p>
    <w:p w14:paraId="74752647">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（2）《三部门联合发布关于促进残疾人就业政府采购政策的通知》（财库[2017]141号）；</w:t>
      </w:r>
    </w:p>
    <w:p w14:paraId="0C54C8B6">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（3）《政府采购促进中小企业发展管理办法》（财库[2020]46号）；</w:t>
      </w:r>
    </w:p>
    <w:p w14:paraId="1EF4239B">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（4）《关于进一步加大政府采购支持中小企业力度的通知》（财库〔2022〕19号）；</w:t>
      </w:r>
    </w:p>
    <w:p w14:paraId="7F71B503">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（5）宝鸡市财政局关于中、省《进一步加大政府采购支持中小企业力度的通知》落实措施的通知（宝市财办采（2022）9号）；</w:t>
      </w:r>
    </w:p>
    <w:p w14:paraId="3814D9FE">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（6）《陕西省财政厅关于落实政府采购支持中小企业政策有关事项的通知》（陕财办采函〔2022〕10号）；</w:t>
      </w:r>
    </w:p>
    <w:p w14:paraId="08E88A18">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rPr>
        <w:t>）《国务院办公厅关于建立政府强制采购节能产品制度的通知》（国办发[2007]51号）；</w:t>
      </w:r>
    </w:p>
    <w:p w14:paraId="7347A4CA">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）《财政部 发展改革委 生态环境部 市场监管总局关于调整优化节能产品、环境标志产品政府采购执行机制的通知》（财库[2019]9号）；</w:t>
      </w:r>
    </w:p>
    <w:p w14:paraId="4A8798E5">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rPr>
        <w:t>）《关于发布参与实施政府采购节能产品、环境标志产品认证机构名录的公告》—2019年第16号；</w:t>
      </w:r>
    </w:p>
    <w:p w14:paraId="6B998998">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0</w:t>
      </w:r>
      <w:r>
        <w:rPr>
          <w:rFonts w:hint="eastAsia" w:asciiTheme="majorEastAsia" w:hAnsiTheme="majorEastAsia" w:eastAsiaTheme="majorEastAsia" w:cstheme="majorEastAsia"/>
          <w:sz w:val="24"/>
          <w:szCs w:val="24"/>
        </w:rPr>
        <w:t>）《关于运用政府采购政策支持脱贫攻坚的通知》--财库[2019]27号；</w:t>
      </w:r>
    </w:p>
    <w:p w14:paraId="0C50E015">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t>）陕西省财政厅关于印发《陕西省中小企业政府采购信用融资办法》（陕财办采[2018]23号）；</w:t>
      </w:r>
    </w:p>
    <w:p w14:paraId="4FDEE165">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）《陕西省财政厅关于加快推进我省中小企业政府采购信用融资工作的通知》（陕财办采〔2020〕15号）；</w:t>
      </w:r>
    </w:p>
    <w:p w14:paraId="6FDFC832">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）《陕西省财政厅关于进一步优化政府采购营商环境有关事项的通知》（陕财办采〔2023〕4号）；</w:t>
      </w:r>
    </w:p>
    <w:p w14:paraId="10E1B849">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）《关于进一步落实政府采购支持中小企业相关政策的通知》(陕财办采 (2023) 3号)；</w:t>
      </w:r>
    </w:p>
    <w:p w14:paraId="28C6FBF8">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）其他需要落实的政府采购政策。</w:t>
      </w:r>
    </w:p>
    <w:p w14:paraId="70FCC2ED">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rPr>
        <w:t>合同包</w:t>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eastAsia="zh-CN"/>
        </w:rPr>
        <w:t>居家和社区基本养老服务提升行动项目Ⅱ标段</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highlight w:val="none"/>
          <w:shd w:val="clear" w:color="auto" w:fill="FFFFFF"/>
        </w:rPr>
        <w:t>落实政府采购政策需满足的资格要求如下:</w:t>
      </w:r>
    </w:p>
    <w:p w14:paraId="42EAA4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同合同包（1）相同</w:t>
      </w:r>
    </w:p>
    <w:p w14:paraId="01E61726">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3.本项目的特定资格要求：</w:t>
      </w:r>
    </w:p>
    <w:p w14:paraId="28DD1E5C">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合同包1(</w:t>
      </w:r>
      <w:r>
        <w:rPr>
          <w:rFonts w:hint="eastAsia" w:asciiTheme="majorEastAsia" w:hAnsiTheme="majorEastAsia" w:eastAsiaTheme="majorEastAsia" w:cstheme="majorEastAsia"/>
          <w:sz w:val="24"/>
          <w:szCs w:val="24"/>
          <w:highlight w:val="none"/>
          <w:shd w:val="clear" w:color="auto" w:fill="FFFFFF"/>
          <w:lang w:eastAsia="zh-CN"/>
        </w:rPr>
        <w:t>居家和社区基本养老服务提升行动项目Ⅰ标段</w:t>
      </w:r>
      <w:r>
        <w:rPr>
          <w:rFonts w:hint="eastAsia" w:asciiTheme="majorEastAsia" w:hAnsiTheme="majorEastAsia" w:eastAsiaTheme="majorEastAsia" w:cstheme="majorEastAsia"/>
          <w:sz w:val="24"/>
          <w:szCs w:val="24"/>
          <w:highlight w:val="none"/>
          <w:shd w:val="clear" w:color="auto" w:fill="FFFFFF"/>
        </w:rPr>
        <w:t>)特定资格要求如下:</w:t>
      </w:r>
    </w:p>
    <w:p w14:paraId="0C6C9009">
      <w:pPr>
        <w:pStyle w:val="32"/>
        <w:widowControl/>
        <w:numPr>
          <w:ilvl w:val="0"/>
          <w:numId w:val="2"/>
        </w:numPr>
        <w:wordWrap w:val="0"/>
        <w:spacing w:line="560" w:lineRule="exact"/>
        <w:ind w:firstLine="480" w:firstLineChars="200"/>
        <w:jc w:val="both"/>
        <w:rPr>
          <w:rFonts w:hint="eastAsia"/>
        </w:rPr>
      </w:pP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446A88AE">
      <w:pPr>
        <w:pStyle w:val="32"/>
        <w:widowControl/>
        <w:numPr>
          <w:ilvl w:val="0"/>
          <w:numId w:val="0"/>
        </w:numPr>
        <w:wordWrap w:val="0"/>
        <w:spacing w:line="560" w:lineRule="exact"/>
        <w:ind w:firstLine="480" w:firstLineChars="200"/>
        <w:jc w:val="both"/>
        <w:rPr>
          <w:rFonts w:hint="eastAsia" w:eastAsiaTheme="majorEastAsia"/>
          <w:lang w:eastAsia="zh-CN"/>
        </w:rPr>
      </w:pPr>
      <w:r>
        <w:rPr>
          <w:rFonts w:hint="eastAsia" w:asciiTheme="majorEastAsia" w:hAnsiTheme="majorEastAsia" w:eastAsiaTheme="majorEastAsia" w:cstheme="majorEastAsia"/>
          <w:sz w:val="24"/>
          <w:szCs w:val="24"/>
          <w:highlight w:val="none"/>
          <w:shd w:val="clear" w:color="auto" w:fill="FFFFFF"/>
        </w:rPr>
        <w:t>2）财务状况报告：</w:t>
      </w:r>
      <w:r>
        <w:rPr>
          <w:rFonts w:hint="eastAsia" w:asciiTheme="majorEastAsia" w:hAnsiTheme="majorEastAsia" w:eastAsiaTheme="majorEastAsia" w:cstheme="majorEastAsia"/>
          <w:sz w:val="24"/>
          <w:szCs w:val="24"/>
          <w:highlight w:val="none"/>
          <w:shd w:val="clear" w:color="auto" w:fill="FFFFFF"/>
          <w:lang w:eastAsia="zh-CN"/>
        </w:rPr>
        <w:t>供应商须提供2024年度的财务审计报告（至少包括资产负债表和利润表，成立时间至提交响应文件截止时间不足一年的可提供成立后任意时段的资产负债表）或开标前六个月内其基本账户开户银行出具的资信证明。其他组织和自然人提供开标前六个月内银行出具的资信证明；</w:t>
      </w:r>
    </w:p>
    <w:p w14:paraId="1CD7FE8C">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）社保缴纳证明：提供202</w:t>
      </w: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10月至今</w:t>
      </w:r>
      <w:r>
        <w:rPr>
          <w:rFonts w:hint="eastAsia" w:asciiTheme="majorEastAsia" w:hAnsiTheme="majorEastAsia" w:eastAsiaTheme="majorEastAsia" w:cstheme="majorEastAsia"/>
          <w:sz w:val="24"/>
          <w:szCs w:val="24"/>
          <w:highlight w:val="none"/>
          <w:shd w:val="clear" w:color="auto" w:fill="FFFFFF"/>
        </w:rPr>
        <w:t>已缴存的至少六个月的社会保障资金缴存单据或社保机构开具的社会保险参保缴费情况证明，依法不需要缴纳社会保障资金的单位应提供相关证明材料；</w:t>
      </w:r>
    </w:p>
    <w:p w14:paraId="06BC0433">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）税收缴纳证明：提供202</w:t>
      </w: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10月至今</w:t>
      </w:r>
      <w:r>
        <w:rPr>
          <w:rFonts w:hint="eastAsia" w:asciiTheme="majorEastAsia" w:hAnsiTheme="majorEastAsia" w:eastAsiaTheme="majorEastAsia" w:cstheme="majorEastAsia"/>
          <w:sz w:val="24"/>
          <w:szCs w:val="24"/>
          <w:highlight w:val="none"/>
          <w:shd w:val="clear" w:color="auto" w:fill="FFFFFF"/>
        </w:rPr>
        <w:t>已缴存的至少六个月的纳税证明或完税证明，依法免税的单位应提供相关证明材料</w:t>
      </w:r>
      <w:r>
        <w:rPr>
          <w:rFonts w:hint="eastAsia" w:asciiTheme="majorEastAsia" w:hAnsiTheme="majorEastAsia" w:eastAsiaTheme="majorEastAsia" w:cstheme="majorEastAsia"/>
          <w:sz w:val="24"/>
          <w:szCs w:val="24"/>
          <w:highlight w:val="none"/>
          <w:shd w:val="clear" w:color="auto" w:fill="FFFFFF"/>
          <w:lang w:val="en-US" w:eastAsia="zh-CN"/>
        </w:rPr>
        <w:t>；</w:t>
      </w:r>
    </w:p>
    <w:p w14:paraId="49A035CA">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供应商未被列入“信用中国”网站(www.creditchina.gov.cn)“失信被执行人和重大税收违法失信主体；未被列入“中国政府采购网”(www.ccgp.gov.cn)“政府采购严重违法失信行为信息记录”</w:t>
      </w:r>
      <w:r>
        <w:rPr>
          <w:rFonts w:hint="eastAsia" w:asciiTheme="majorEastAsia" w:hAnsiTheme="majorEastAsia" w:eastAsiaTheme="majorEastAsia" w:cstheme="majorEastAsia"/>
          <w:sz w:val="24"/>
          <w:szCs w:val="24"/>
          <w:highlight w:val="none"/>
          <w:shd w:val="clear" w:color="auto" w:fill="FFFFFF"/>
        </w:rPr>
        <w:t>；</w:t>
      </w:r>
    </w:p>
    <w:p w14:paraId="22D67EF6">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6D92EADF">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656F331D">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法定代表人参加投标的，须出具本人身份证，并与营业执照上信息一致，授权代表参加投标的须出具法定代表人身份证明、授权代表身份证复印件及授权代表身份证原件。竞争性磋商文件中凡是需要法定代表人盖章（签字）之处，非法人单位的负责人均参照执行；</w:t>
      </w:r>
    </w:p>
    <w:p w14:paraId="1404C9CB">
      <w:pPr>
        <w:pStyle w:val="32"/>
        <w:widowControl/>
        <w:wordWrap w:val="0"/>
        <w:spacing w:line="560" w:lineRule="exact"/>
        <w:ind w:firstLine="480" w:firstLineChars="200"/>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7A6F8CD0">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p w14:paraId="320D3E58">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default" w:ascii="宋体" w:hAnsi="宋体" w:eastAsia="宋体" w:cs="宋体"/>
          <w:color w:val="000000"/>
          <w:kern w:val="0"/>
          <w:sz w:val="24"/>
          <w:szCs w:val="24"/>
          <w:lang w:val="en-US" w:eastAsia="zh-CN" w:bidi="ar-SA"/>
        </w:rPr>
      </w:pPr>
      <w:r>
        <w:rPr>
          <w:rFonts w:hint="eastAsia" w:asciiTheme="majorEastAsia" w:hAnsiTheme="majorEastAsia" w:eastAsiaTheme="majorEastAsia" w:cstheme="majorEastAsia"/>
          <w:sz w:val="24"/>
          <w:szCs w:val="24"/>
          <w:highlight w:val="none"/>
          <w:shd w:val="clear" w:color="auto" w:fill="FFFFFF"/>
        </w:rPr>
        <w:t>合同包</w:t>
      </w:r>
      <w:r>
        <w:rPr>
          <w:rFonts w:hint="eastAsia" w:asciiTheme="majorEastAsia" w:hAnsiTheme="majorEastAsia" w:eastAsiaTheme="majorEastAsia" w:cstheme="majorEastAsia"/>
          <w:sz w:val="24"/>
          <w:szCs w:val="24"/>
          <w:highlight w:val="none"/>
          <w:shd w:val="clear" w:color="auto" w:fill="FFFFFF"/>
          <w:lang w:val="en-US" w:eastAsia="zh-CN"/>
        </w:rPr>
        <w:t>2</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eastAsia="zh-CN"/>
        </w:rPr>
        <w:t>居家和社区基本养老服务提升行动项目Ⅱ标段</w:t>
      </w:r>
      <w:r>
        <w:rPr>
          <w:rFonts w:hint="eastAsia" w:asciiTheme="majorEastAsia" w:hAnsiTheme="majorEastAsia" w:eastAsiaTheme="majorEastAsia" w:cstheme="majorEastAsia"/>
          <w:sz w:val="24"/>
          <w:szCs w:val="24"/>
        </w:rPr>
        <w:t>)</w:t>
      </w:r>
      <w:r>
        <w:rPr>
          <w:rFonts w:hint="default" w:ascii="宋体" w:hAnsi="宋体" w:eastAsia="宋体" w:cs="宋体"/>
          <w:color w:val="000000"/>
          <w:kern w:val="0"/>
          <w:sz w:val="24"/>
          <w:szCs w:val="24"/>
          <w:lang w:val="en-US" w:eastAsia="zh-CN" w:bidi="ar-SA"/>
        </w:rPr>
        <w:t>特定资格要求如下:</w:t>
      </w:r>
    </w:p>
    <w:p w14:paraId="3D38E500">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同合同包（1）相同</w:t>
      </w:r>
    </w:p>
    <w:p w14:paraId="6BE5501A">
      <w:pPr>
        <w:pStyle w:val="32"/>
        <w:widowControl/>
        <w:wordWrap w:val="0"/>
        <w:spacing w:line="560" w:lineRule="exact"/>
        <w:jc w:val="both"/>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三、获取采购文件</w:t>
      </w:r>
    </w:p>
    <w:p w14:paraId="55C32B69">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时间：202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20</w:t>
      </w:r>
      <w:r>
        <w:rPr>
          <w:rFonts w:hint="eastAsia" w:asciiTheme="majorEastAsia" w:hAnsiTheme="majorEastAsia" w:eastAsiaTheme="majorEastAsia" w:cstheme="majorEastAsia"/>
          <w:sz w:val="24"/>
          <w:szCs w:val="24"/>
          <w:highlight w:val="none"/>
          <w:shd w:val="clear" w:color="auto" w:fill="FFFFFF"/>
        </w:rPr>
        <w:t>日至202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24</w:t>
      </w:r>
      <w:r>
        <w:rPr>
          <w:rFonts w:hint="eastAsia" w:asciiTheme="majorEastAsia" w:hAnsiTheme="majorEastAsia" w:eastAsiaTheme="majorEastAsia" w:cstheme="majorEastAsia"/>
          <w:sz w:val="24"/>
          <w:szCs w:val="24"/>
          <w:highlight w:val="none"/>
          <w:shd w:val="clear" w:color="auto" w:fill="FFFFFF"/>
        </w:rPr>
        <w:t>日，每天上午09:00:00至12:00:00，下午14:00:00至17:00:00（北京时间）</w:t>
      </w:r>
    </w:p>
    <w:p w14:paraId="0629021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途径：【全国公共资源交易平台（陕西省·宝鸡市）】（</w:t>
      </w:r>
      <w:r>
        <w:rPr>
          <w:rFonts w:hint="eastAsia" w:asciiTheme="majorEastAsia" w:hAnsiTheme="majorEastAsia" w:eastAsiaTheme="majorEastAsia" w:cstheme="majorEastAsia"/>
          <w:sz w:val="24"/>
          <w:szCs w:val="24"/>
          <w:highlight w:val="none"/>
          <w:shd w:val="clear" w:color="auto" w:fill="FFFFFF"/>
          <w:lang w:eastAsia="zh-CN"/>
        </w:rPr>
        <w:t>http://ggzy.baoji.gov.cn/</w:t>
      </w:r>
      <w:r>
        <w:rPr>
          <w:rFonts w:hint="eastAsia" w:asciiTheme="majorEastAsia" w:hAnsiTheme="majorEastAsia" w:eastAsiaTheme="majorEastAsia" w:cstheme="majorEastAsia"/>
          <w:sz w:val="24"/>
          <w:szCs w:val="24"/>
          <w:highlight w:val="none"/>
          <w:shd w:val="clear" w:color="auto" w:fill="FFFFFF"/>
        </w:rPr>
        <w:t>）</w:t>
      </w:r>
    </w:p>
    <w:p w14:paraId="2CD9B8FB">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方式：在线获取</w:t>
      </w:r>
    </w:p>
    <w:p w14:paraId="7E4F8152">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售价：0元</w:t>
      </w:r>
    </w:p>
    <w:p w14:paraId="02E48EF2">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四、响应文件提交</w:t>
      </w:r>
    </w:p>
    <w:p w14:paraId="7952E4DD">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截止时间：202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30</w:t>
      </w:r>
      <w:r>
        <w:rPr>
          <w:rFonts w:hint="eastAsia" w:asciiTheme="majorEastAsia" w:hAnsiTheme="majorEastAsia" w:eastAsiaTheme="majorEastAsia" w:cstheme="majorEastAsia"/>
          <w:sz w:val="24"/>
          <w:szCs w:val="24"/>
          <w:highlight w:val="none"/>
          <w:shd w:val="clear" w:color="auto" w:fill="FFFFFF"/>
        </w:rPr>
        <w:t>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0分00秒（北京时间）</w:t>
      </w:r>
    </w:p>
    <w:p w14:paraId="0275988B">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地点：全国公共资源交易平台（陕西省.宝鸡市）宝鸡市公共资源交易中心</w:t>
      </w:r>
    </w:p>
    <w:p w14:paraId="7CD15268">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五、开启</w:t>
      </w:r>
    </w:p>
    <w:p w14:paraId="6E7C75F3">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时间：202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30</w:t>
      </w:r>
      <w:r>
        <w:rPr>
          <w:rFonts w:hint="eastAsia" w:asciiTheme="majorEastAsia" w:hAnsiTheme="majorEastAsia" w:eastAsiaTheme="majorEastAsia" w:cstheme="majorEastAsia"/>
          <w:sz w:val="24"/>
          <w:szCs w:val="24"/>
          <w:highlight w:val="none"/>
          <w:shd w:val="clear" w:color="auto" w:fill="FFFFFF"/>
        </w:rPr>
        <w:t>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0分00秒（北京时间）</w:t>
      </w:r>
    </w:p>
    <w:p w14:paraId="523392FA">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rPr>
        <w:t>地点：</w:t>
      </w:r>
      <w:r>
        <w:rPr>
          <w:rFonts w:hint="eastAsia" w:asciiTheme="majorEastAsia" w:hAnsiTheme="majorEastAsia" w:eastAsiaTheme="majorEastAsia" w:cstheme="majorEastAsia"/>
          <w:sz w:val="24"/>
          <w:szCs w:val="24"/>
        </w:rPr>
        <w:t>全国公共资源交易平台（陕西省.宝鸡市）不见面开标大厅系统</w:t>
      </w:r>
    </w:p>
    <w:p w14:paraId="460A13F7">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六、公告期限</w:t>
      </w:r>
    </w:p>
    <w:p w14:paraId="61502B4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自本公告发布之日起3个工作日。</w:t>
      </w:r>
    </w:p>
    <w:p w14:paraId="6DAFF368">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七、其他补充事宜</w:t>
      </w:r>
    </w:p>
    <w:p w14:paraId="30124965">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1、本次采购公告在《陕西省政府采购网》、《陕西省公共资源交易中心（陕西省▪宝鸡市）》同时发布</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5145515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2、请供应商按照陕西省财政厅关于政府采购供应商注册登记有关事项的通知中的要求，通过陕西省政府采购网（http://www.ccgp-shaanxi.gov.cn/）注册登记加入陕西省政府采购供应商库及办理供应商入库申请并及时办理CA数字证书（陕西CA锁）</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w:t>
      </w:r>
    </w:p>
    <w:p w14:paraId="664EB00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3、各供应商使用CA证书登录全国公共资源交易平台（陕西省宝鸡市）宝鸡市公共资源交易中心（</w:t>
      </w:r>
      <w:r>
        <w:rPr>
          <w:rFonts w:hint="eastAsia" w:asciiTheme="majorEastAsia" w:hAnsiTheme="majorEastAsia" w:eastAsiaTheme="majorEastAsia" w:cstheme="majorEastAsia"/>
          <w:color w:val="auto"/>
          <w:sz w:val="24"/>
          <w:szCs w:val="24"/>
          <w:highlight w:val="none"/>
          <w:shd w:val="clear" w:color="auto" w:fill="FFFFFF"/>
        </w:rPr>
        <w:t>http://ggzy.baoji.gov.cn/</w:t>
      </w:r>
      <w:r>
        <w:rPr>
          <w:rFonts w:hint="eastAsia" w:asciiTheme="majorEastAsia" w:hAnsiTheme="majorEastAsia" w:eastAsiaTheme="majorEastAsia" w:cstheme="majorEastAsia"/>
          <w:i w:val="0"/>
          <w:iCs w:val="0"/>
          <w:caps w:val="0"/>
          <w:color w:val="auto"/>
          <w:spacing w:val="0"/>
          <w:sz w:val="24"/>
          <w:szCs w:val="24"/>
          <w:highlight w:val="none"/>
          <w:shd w:val="clear" w:fill="FFFFFF"/>
        </w:rPr>
        <w:t>）交易平台〖首页〉电子交易平台〉企业端〗后，在〖招标公告/出让公告〗模块中选择有意向的项目点击“我要</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投标</w:t>
      </w:r>
      <w:r>
        <w:rPr>
          <w:rFonts w:hint="eastAsia" w:asciiTheme="majorEastAsia" w:hAnsiTheme="majorEastAsia" w:eastAsiaTheme="majorEastAsia" w:cstheme="majorEastAsia"/>
          <w:i w:val="0"/>
          <w:iCs w:val="0"/>
          <w:caps w:val="0"/>
          <w:color w:val="auto"/>
          <w:spacing w:val="0"/>
          <w:sz w:val="24"/>
          <w:szCs w:val="24"/>
          <w:highlight w:val="none"/>
          <w:shd w:val="clear" w:fill="FFFFFF"/>
        </w:rPr>
        <w:t>”</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47E7D435">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4、报名成功后可从〖我的项目〉项目流程〉交易文件下载〗中下载电子文件（*.SXSZF格式）</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57991D6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5、供应商在网上填写的单位信息（单位名称、营业执照相关信息）应与</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竞争性磋商</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文件要求及后期上传的电子磋商</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响应</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文件中相关信息一致，否则造成资格审查不通过的后果供应商自负</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73BB777E">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6、本项目采用电子化不见面开标方式，各供应商可登录全国公共资源交易平台（陕西省·宝鸡市）宝鸡市公共资源交易中心（</w:t>
      </w:r>
      <w:r>
        <w:rPr>
          <w:rFonts w:hint="eastAsia" w:asciiTheme="majorEastAsia" w:hAnsiTheme="majorEastAsia" w:eastAsiaTheme="majorEastAsia" w:cstheme="majorEastAsia"/>
          <w:color w:val="auto"/>
          <w:sz w:val="24"/>
          <w:szCs w:val="24"/>
          <w:highlight w:val="none"/>
          <w:shd w:val="clear" w:color="auto" w:fill="FFFFFF"/>
        </w:rPr>
        <w:t>http://ggzy.baoji.gov.cn/</w:t>
      </w:r>
      <w:r>
        <w:rPr>
          <w:rFonts w:hint="eastAsia" w:asciiTheme="majorEastAsia" w:hAnsiTheme="majorEastAsia" w:eastAsiaTheme="majorEastAsia" w:cstheme="majorEastAsia"/>
          <w:i w:val="0"/>
          <w:iCs w:val="0"/>
          <w:caps w:val="0"/>
          <w:color w:val="auto"/>
          <w:spacing w:val="0"/>
          <w:sz w:val="24"/>
          <w:szCs w:val="24"/>
          <w:highlight w:val="none"/>
          <w:shd w:val="clear" w:fill="FFFFFF"/>
        </w:rPr>
        <w:t>）下载《政府采购电子标书制作工具》、《政府采购磋商单位操作手册》和《宝鸡市不见面大厅供应商操作手册》,按照流程制作电子标书并在磋商截止时间前上传电子磋商</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响应</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6E0B1B03">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7、为了保证远程不见面开标顺利进行，供应商需使用电脑提前一小时登录网络开标大厅</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r>
        <w:rPr>
          <w:rFonts w:hint="eastAsia" w:asciiTheme="majorEastAsia" w:hAnsiTheme="majorEastAsia" w:eastAsiaTheme="majorEastAsia" w:cstheme="majorEastAsia"/>
          <w:i w:val="0"/>
          <w:iCs w:val="0"/>
          <w:caps w:val="0"/>
          <w:color w:val="auto"/>
          <w:spacing w:val="0"/>
          <w:sz w:val="24"/>
          <w:szCs w:val="24"/>
          <w:highlight w:val="none"/>
          <w:shd w:val="clear" w:fill="FFFFFF"/>
        </w:rPr>
        <w:t>因供应商自身</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电脑设备</w:t>
      </w:r>
      <w:r>
        <w:rPr>
          <w:rFonts w:hint="eastAsia" w:asciiTheme="majorEastAsia" w:hAnsiTheme="majorEastAsia" w:eastAsiaTheme="majorEastAsia" w:cstheme="majorEastAsia"/>
          <w:i w:val="0"/>
          <w:iCs w:val="0"/>
          <w:caps w:val="0"/>
          <w:color w:val="auto"/>
          <w:spacing w:val="0"/>
          <w:sz w:val="24"/>
          <w:szCs w:val="24"/>
          <w:highlight w:val="none"/>
          <w:shd w:val="clear" w:fill="FFFFFF"/>
        </w:rPr>
        <w:t>故障或自身原因导致无法完成磋商的，由供应商自行承担后果（建议使用IE11或者360极速浏览器兼容模式，磋商单位电脑需配备耳麦）</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55FD326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8、</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供应商</w:t>
      </w:r>
      <w:r>
        <w:rPr>
          <w:rFonts w:hint="eastAsia" w:asciiTheme="majorEastAsia" w:hAnsiTheme="majorEastAsia" w:eastAsiaTheme="majorEastAsia" w:cstheme="majorEastAsia"/>
          <w:i w:val="0"/>
          <w:iCs w:val="0"/>
          <w:caps w:val="0"/>
          <w:color w:val="auto"/>
          <w:spacing w:val="0"/>
          <w:sz w:val="24"/>
          <w:szCs w:val="24"/>
          <w:highlight w:val="none"/>
          <w:shd w:val="clear" w:fill="FFFFFF"/>
        </w:rPr>
        <w:t>未完成网上磋商或未在规定时间内在平台上下载电子</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竞争性磋商</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文件的，导致无法完成后续流程的责任自负</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1290990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Calibri"/>
          <w:color w:val="000000"/>
          <w:lang w:val="en-US"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9、</w:t>
      </w:r>
      <w:r>
        <w:rPr>
          <w:rFonts w:hint="eastAsia" w:ascii="宋体" w:hAnsi="宋体" w:cs="Calibri"/>
          <w:color w:val="000000"/>
          <w:lang w:val="en-US" w:eastAsia="zh-CN"/>
        </w:rPr>
        <w:t>注意事项：供应商应随时留意可能发布的变更公告，当澄清或修改的内容影响响应文件编制时，将在交易平台上同步发布答疑文件，供应商应从“项目流程”答疑文件下载、下载最新发布的答疑文件；</w:t>
      </w:r>
    </w:p>
    <w:p w14:paraId="7BE139A7">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Calibri" w:eastAsiaTheme="minorEastAsia"/>
          <w:color w:val="000000"/>
          <w:lang w:val="en-US" w:eastAsia="zh-CN"/>
        </w:rPr>
      </w:pPr>
      <w:r>
        <w:rPr>
          <w:rFonts w:hint="eastAsia" w:ascii="宋体" w:hAnsi="宋体" w:cs="Calibri"/>
          <w:color w:val="000000"/>
          <w:lang w:val="en-US" w:eastAsia="zh-CN"/>
        </w:rPr>
        <w:t>10、</w:t>
      </w:r>
      <w:r>
        <w:rPr>
          <w:rFonts w:hint="eastAsia" w:ascii="宋体" w:hAnsi="宋体" w:cs="Calibri"/>
          <w:color w:val="000000"/>
        </w:rPr>
        <w:t>CA锁办理地址及流程：宝鸡市金台区行政大道8号海棠风尚宝鸡市公共资源交易中心4楼2号窗口（办理流程：</w:t>
      </w:r>
      <w:r>
        <w:rPr>
          <w:b w:val="0"/>
          <w:bCs w:val="0"/>
        </w:rPr>
        <w:fldChar w:fldCharType="begin"/>
      </w:r>
      <w:r>
        <w:rPr>
          <w:b w:val="0"/>
          <w:bCs w:val="0"/>
        </w:rPr>
        <w:instrText xml:space="preserve"> HYPERLINK "http://ggzy.baoji.gov.cn/fwzn/004002/20220524/05ccf80e-6a61-43e9-90e9-ebdd8da75241.html" </w:instrText>
      </w:r>
      <w:r>
        <w:rPr>
          <w:b w:val="0"/>
          <w:bCs w:val="0"/>
        </w:rPr>
        <w:fldChar w:fldCharType="separate"/>
      </w:r>
      <w:r>
        <w:rPr>
          <w:rStyle w:val="48"/>
          <w:rFonts w:hint="eastAsia" w:ascii="宋体" w:hAnsi="宋体" w:cs="Calibri"/>
          <w:b w:val="0"/>
          <w:bCs w:val="0"/>
          <w:color w:val="000000"/>
        </w:rPr>
        <w:t>http://ggzy.baoji.gov.cn/fwzn/004002/20220524/05ccf80e-6a61-43e9-90e9-ebdd8da75241.html</w:t>
      </w:r>
      <w:r>
        <w:rPr>
          <w:rStyle w:val="48"/>
          <w:rFonts w:hint="eastAsia" w:ascii="宋体" w:hAnsi="宋体" w:cs="Calibri"/>
          <w:b w:val="0"/>
          <w:bCs w:val="0"/>
          <w:color w:val="000000"/>
        </w:rPr>
        <w:fldChar w:fldCharType="end"/>
      </w:r>
      <w:r>
        <w:rPr>
          <w:rFonts w:hint="eastAsia" w:ascii="宋体" w:hAnsi="宋体" w:cs="Calibri"/>
          <w:b w:val="0"/>
          <w:bCs w:val="0"/>
          <w:color w:val="000000"/>
        </w:rPr>
        <w:t>）</w:t>
      </w:r>
      <w:r>
        <w:rPr>
          <w:rFonts w:hint="eastAsia" w:ascii="宋体" w:hAnsi="宋体" w:cs="Calibri"/>
          <w:color w:val="000000"/>
          <w:lang w:val="en-US" w:eastAsia="zh-CN"/>
        </w:rPr>
        <w:t>；</w:t>
      </w:r>
    </w:p>
    <w:p w14:paraId="7EE4A317">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11</w:t>
      </w:r>
      <w:r>
        <w:rPr>
          <w:rFonts w:hint="eastAsia" w:asciiTheme="majorEastAsia" w:hAnsiTheme="majorEastAsia" w:eastAsiaTheme="majorEastAsia" w:cstheme="majorEastAsia"/>
          <w:i w:val="0"/>
          <w:iCs w:val="0"/>
          <w:caps w:val="0"/>
          <w:color w:val="auto"/>
          <w:spacing w:val="0"/>
          <w:sz w:val="24"/>
          <w:szCs w:val="24"/>
          <w:highlight w:val="none"/>
          <w:shd w:val="clear" w:fill="FFFFFF"/>
        </w:rPr>
        <w:t>、电子磋商</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响应</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文件制作软件技术支持热线：咨询电话:400-636-9888、029-88661267、029-88661266</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0215B0B4">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八、对本次招标提出询问，请按以下方式联系。</w:t>
      </w:r>
    </w:p>
    <w:p w14:paraId="6FBBC287">
      <w:pPr>
        <w:widowControl/>
        <w:wordWrap w:val="0"/>
        <w:spacing w:line="560" w:lineRule="exact"/>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1.采购人信息</w:t>
      </w:r>
    </w:p>
    <w:p w14:paraId="4DA25C5F">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名称：</w:t>
      </w:r>
      <w:r>
        <w:rPr>
          <w:rFonts w:hint="eastAsia" w:asciiTheme="majorEastAsia" w:hAnsiTheme="majorEastAsia" w:eastAsiaTheme="majorEastAsia" w:cstheme="majorEastAsia"/>
          <w:sz w:val="24"/>
          <w:szCs w:val="24"/>
          <w:highlight w:val="none"/>
          <w:shd w:val="clear" w:color="auto" w:fill="FFFFFF"/>
          <w:lang w:eastAsia="zh-CN"/>
        </w:rPr>
        <w:t>千阳县民政局</w:t>
      </w:r>
    </w:p>
    <w:p w14:paraId="750990D0">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rPr>
        <w:t>地址：</w:t>
      </w:r>
      <w:r>
        <w:rPr>
          <w:rFonts w:hint="eastAsia" w:asciiTheme="majorEastAsia" w:hAnsiTheme="majorEastAsia" w:eastAsiaTheme="majorEastAsia" w:cstheme="majorEastAsia"/>
          <w:sz w:val="24"/>
          <w:szCs w:val="24"/>
          <w:highlight w:val="none"/>
          <w:shd w:val="clear" w:color="auto" w:fill="FFFFFF"/>
          <w:lang w:eastAsia="zh-CN"/>
        </w:rPr>
        <w:t>千阳县宝平路68号</w:t>
      </w:r>
    </w:p>
    <w:p w14:paraId="51F361C9">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rPr>
        <w:t>联系方式</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lang w:val="en-US" w:eastAsia="zh-CN"/>
        </w:rPr>
        <w:t>0917-4230258</w:t>
      </w:r>
    </w:p>
    <w:p w14:paraId="530FCB98">
      <w:pPr>
        <w:widowControl/>
        <w:wordWrap w:val="0"/>
        <w:spacing w:line="560" w:lineRule="exact"/>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2.采购代理机构信息</w:t>
      </w:r>
    </w:p>
    <w:p w14:paraId="7CACD51A">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名称：</w:t>
      </w:r>
      <w:r>
        <w:rPr>
          <w:rFonts w:hint="eastAsia" w:asciiTheme="majorEastAsia" w:hAnsiTheme="majorEastAsia" w:eastAsiaTheme="majorEastAsia" w:cstheme="majorEastAsia"/>
          <w:sz w:val="24"/>
          <w:szCs w:val="24"/>
          <w:highlight w:val="none"/>
          <w:shd w:val="clear" w:color="auto" w:fill="FFFFFF"/>
          <w:lang w:eastAsia="zh-CN"/>
        </w:rPr>
        <w:t>华地众信工程项目管理有限公司</w:t>
      </w:r>
    </w:p>
    <w:p w14:paraId="6524E2C3">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地址：</w:t>
      </w:r>
      <w:r>
        <w:rPr>
          <w:rFonts w:hint="eastAsia" w:asciiTheme="majorEastAsia" w:hAnsiTheme="majorEastAsia" w:eastAsiaTheme="majorEastAsia" w:cstheme="majorEastAsia"/>
          <w:sz w:val="24"/>
          <w:szCs w:val="24"/>
          <w:highlight w:val="none"/>
          <w:shd w:val="clear" w:color="auto" w:fill="FFFFFF"/>
          <w:lang w:eastAsia="zh-CN"/>
        </w:rPr>
        <w:t>陕西省宝鸡市高新开发区马营镇高新锦园4号楼一单元1604室</w:t>
      </w:r>
    </w:p>
    <w:p w14:paraId="1620C0B0">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shd w:val="clear" w:color="auto" w:fill="FFFFFF"/>
        </w:rPr>
        <w:t>联系方式：</w:t>
      </w:r>
      <w:r>
        <w:rPr>
          <w:rFonts w:hint="eastAsia" w:asciiTheme="majorEastAsia" w:hAnsiTheme="majorEastAsia" w:eastAsiaTheme="majorEastAsia" w:cstheme="majorEastAsia"/>
          <w:sz w:val="24"/>
          <w:szCs w:val="24"/>
          <w:highlight w:val="none"/>
          <w:shd w:val="clear" w:color="auto" w:fill="FFFFFF"/>
          <w:lang w:val="en-US" w:eastAsia="zh-CN"/>
        </w:rPr>
        <w:t>18091731152</w:t>
      </w:r>
    </w:p>
    <w:p w14:paraId="4194AB54">
      <w:pPr>
        <w:widowControl/>
        <w:wordWrap w:val="0"/>
        <w:spacing w:line="560" w:lineRule="exact"/>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3.项目联系方式</w:t>
      </w:r>
    </w:p>
    <w:p w14:paraId="26B464D2">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项目联系人：陈佩瑶</w:t>
      </w:r>
    </w:p>
    <w:p w14:paraId="50558CB7">
      <w:pPr>
        <w:pStyle w:val="32"/>
        <w:widowControl/>
        <w:wordWrap w:val="0"/>
        <w:spacing w:line="560" w:lineRule="exact"/>
        <w:ind w:firstLine="480"/>
        <w:jc w:val="both"/>
        <w:rPr>
          <w:rFonts w:hint="eastAsia" w:asciiTheme="majorEastAsia" w:hAnsiTheme="majorEastAsia" w:eastAsiaTheme="majorEastAsia" w:cstheme="majorEastAsia"/>
          <w:color w:val="333333"/>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rPr>
        <w:t>电话：18091731152</w:t>
      </w:r>
    </w:p>
    <w:p w14:paraId="1E70C655">
      <w:pPr>
        <w:pStyle w:val="32"/>
        <w:widowControl/>
        <w:wordWrap w:val="0"/>
        <w:spacing w:line="560" w:lineRule="exact"/>
        <w:ind w:firstLine="480"/>
        <w:jc w:val="right"/>
        <w:rPr>
          <w:rFonts w:hint="eastAsia" w:asciiTheme="majorEastAsia" w:hAnsiTheme="majorEastAsia" w:eastAsiaTheme="majorEastAsia" w:cstheme="majorEastAsia"/>
          <w:color w:val="333333"/>
          <w:sz w:val="24"/>
          <w:szCs w:val="24"/>
          <w:highlight w:val="none"/>
          <w:shd w:val="clear" w:color="auto" w:fill="FFFFFF"/>
          <w:lang w:eastAsia="zh-CN"/>
        </w:rPr>
      </w:pP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华地众信工程项目管理有限公司</w:t>
      </w:r>
    </w:p>
    <w:p w14:paraId="06C84142">
      <w:pPr>
        <w:pStyle w:val="32"/>
        <w:widowControl/>
        <w:wordWrap w:val="0"/>
        <w:spacing w:line="560" w:lineRule="exact"/>
        <w:ind w:firstLine="480"/>
        <w:jc w:val="right"/>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202</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5</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10</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月</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19</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日</w:t>
      </w:r>
    </w:p>
    <w:p w14:paraId="72CD31C1">
      <w:pPr>
        <w:numPr>
          <w:ilvl w:val="0"/>
          <w:numId w:val="0"/>
        </w:numPr>
        <w:tabs>
          <w:tab w:val="left" w:pos="1245"/>
        </w:tabs>
        <w:jc w:val="both"/>
        <w:outlineLvl w:val="0"/>
        <w:rPr>
          <w:rFonts w:hint="eastAsia" w:ascii="宋体" w:hAnsi="宋体" w:eastAsia="宋体" w:cs="宋体"/>
          <w:szCs w:val="24"/>
          <w:highlight w:val="none"/>
          <w:lang w:val="en-US" w:eastAsia="zh-CN"/>
        </w:rPr>
      </w:pPr>
    </w:p>
    <w:p w14:paraId="712B0792">
      <w:pPr>
        <w:rPr>
          <w:rFonts w:hint="eastAsia" w:asciiTheme="majorEastAsia" w:hAnsiTheme="majorEastAsia" w:eastAsiaTheme="majorEastAsia" w:cstheme="majorEastAsia"/>
          <w:b/>
          <w:bCs/>
          <w:color w:val="000000" w:themeColor="text1"/>
          <w:kern w:val="0"/>
          <w:sz w:val="24"/>
          <w:szCs w:val="24"/>
          <w:highlight w:val="none"/>
          <w14:textFill>
            <w14:solidFill>
              <w14:schemeClr w14:val="tx1"/>
            </w14:solidFill>
          </w14:textFill>
        </w:rPr>
      </w:pPr>
      <w:bookmarkStart w:id="4" w:name="_Toc28093"/>
      <w:bookmarkStart w:id="5" w:name="_Toc4911"/>
      <w:bookmarkStart w:id="6" w:name="_Toc458617453"/>
      <w:bookmarkStart w:id="7" w:name="_Toc458617730"/>
      <w:bookmarkStart w:id="8" w:name="_Toc129703221"/>
      <w:bookmarkStart w:id="9" w:name="_Toc31306"/>
      <w:bookmarkStart w:id="10" w:name="_Toc8263"/>
      <w:bookmarkStart w:id="11" w:name="_Toc15287"/>
      <w:r>
        <w:rPr>
          <w:rFonts w:hint="eastAsia" w:asciiTheme="majorEastAsia" w:hAnsiTheme="majorEastAsia" w:eastAsiaTheme="majorEastAsia" w:cstheme="majorEastAsia"/>
          <w:b/>
          <w:bCs/>
          <w:color w:val="000000" w:themeColor="text1"/>
          <w:kern w:val="0"/>
          <w:sz w:val="24"/>
          <w:szCs w:val="24"/>
          <w:highlight w:val="none"/>
          <w14:textFill>
            <w14:solidFill>
              <w14:schemeClr w14:val="tx1"/>
            </w14:solidFill>
          </w14:textFill>
        </w:rPr>
        <w:br w:type="page"/>
      </w:r>
    </w:p>
    <w:p w14:paraId="7A3C4960">
      <w:pPr>
        <w:spacing w:line="360" w:lineRule="auto"/>
        <w:jc w:val="center"/>
        <w:outlineLvl w:val="0"/>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b/>
          <w:bCs/>
          <w:color w:val="000000" w:themeColor="text1"/>
          <w:kern w:val="0"/>
          <w:sz w:val="36"/>
          <w:szCs w:val="36"/>
          <w:highlight w:val="none"/>
          <w14:textFill>
            <w14:solidFill>
              <w14:schemeClr w14:val="tx1"/>
            </w14:solidFill>
          </w14:textFill>
        </w:rPr>
        <w:t>第二章 供应商须知</w:t>
      </w:r>
      <w:bookmarkEnd w:id="4"/>
      <w:bookmarkEnd w:id="5"/>
      <w:bookmarkEnd w:id="6"/>
      <w:bookmarkEnd w:id="7"/>
      <w:bookmarkEnd w:id="8"/>
      <w:bookmarkEnd w:id="9"/>
      <w:bookmarkEnd w:id="10"/>
      <w:bookmarkEnd w:id="11"/>
      <w:bookmarkStart w:id="12" w:name="_Toc8707"/>
      <w:bookmarkStart w:id="13" w:name="_Toc458617731"/>
      <w:bookmarkStart w:id="14" w:name="_Toc458617454"/>
    </w:p>
    <w:p w14:paraId="6E4D21E6">
      <w:pPr>
        <w:spacing w:line="360" w:lineRule="auto"/>
        <w:jc w:val="center"/>
        <w:rPr>
          <w:rFonts w:ascii="宋体" w:hAnsi="宋体" w:eastAsia="宋体" w:cs="宋体"/>
          <w:color w:val="000000" w:themeColor="text1"/>
          <w:sz w:val="15"/>
          <w:szCs w:val="15"/>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一、供应商须知前附表</w:t>
      </w:r>
      <w:bookmarkEnd w:id="12"/>
      <w:bookmarkEnd w:id="13"/>
      <w:bookmarkEnd w:id="14"/>
    </w:p>
    <w:tbl>
      <w:tblPr>
        <w:tblStyle w:val="37"/>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84"/>
        <w:gridCol w:w="6546"/>
      </w:tblGrid>
      <w:tr w14:paraId="578F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37229C66">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序号</w:t>
            </w:r>
          </w:p>
        </w:tc>
        <w:tc>
          <w:tcPr>
            <w:tcW w:w="2084" w:type="dxa"/>
            <w:vAlign w:val="center"/>
          </w:tcPr>
          <w:p w14:paraId="4DB45D77">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条款名称</w:t>
            </w:r>
          </w:p>
        </w:tc>
        <w:tc>
          <w:tcPr>
            <w:tcW w:w="6546" w:type="dxa"/>
            <w:vAlign w:val="center"/>
          </w:tcPr>
          <w:p w14:paraId="1BCF6A36">
            <w:pPr>
              <w:spacing w:line="500" w:lineRule="exac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说明和要求</w:t>
            </w:r>
          </w:p>
        </w:tc>
      </w:tr>
      <w:tr w14:paraId="344A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09" w:type="dxa"/>
            <w:vAlign w:val="center"/>
          </w:tcPr>
          <w:p w14:paraId="69626FC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p>
        </w:tc>
        <w:tc>
          <w:tcPr>
            <w:tcW w:w="2084" w:type="dxa"/>
            <w:vAlign w:val="center"/>
          </w:tcPr>
          <w:p w14:paraId="321C48E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采购人</w:t>
            </w:r>
          </w:p>
        </w:tc>
        <w:tc>
          <w:tcPr>
            <w:tcW w:w="6546" w:type="dxa"/>
            <w:vAlign w:val="center"/>
          </w:tcPr>
          <w:p w14:paraId="061EF9CF">
            <w:pPr>
              <w:pStyle w:val="32"/>
              <w:widowControl/>
              <w:spacing w:line="500" w:lineRule="exact"/>
              <w:jc w:val="both"/>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名称：</w:t>
            </w:r>
            <w:r>
              <w:rPr>
                <w:rFonts w:hint="eastAsia" w:ascii="宋体" w:hAnsi="宋体" w:eastAsia="宋体" w:cs="宋体"/>
                <w:highlight w:val="none"/>
                <w:lang w:eastAsia="zh-CN"/>
              </w:rPr>
              <w:t>千阳县民政局</w:t>
            </w:r>
          </w:p>
          <w:p w14:paraId="3A5B7E4D">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地址：</w:t>
            </w:r>
            <w:r>
              <w:rPr>
                <w:rFonts w:hint="eastAsia" w:ascii="宋体" w:hAnsi="宋体" w:eastAsia="宋体" w:cs="宋体"/>
                <w:color w:val="000000" w:themeColor="text1"/>
                <w:szCs w:val="24"/>
                <w:highlight w:val="none"/>
                <w:lang w:eastAsia="zh-CN"/>
                <w14:textFill>
                  <w14:solidFill>
                    <w14:schemeClr w14:val="tx1"/>
                  </w14:solidFill>
                </w14:textFill>
              </w:rPr>
              <w:t>千阳县宝平路68号</w:t>
            </w:r>
          </w:p>
          <w:p w14:paraId="5EC5C33B">
            <w:pPr>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 系 人：</w:t>
            </w:r>
            <w:r>
              <w:rPr>
                <w:rFonts w:hint="eastAsia" w:ascii="宋体" w:hAnsi="宋体" w:eastAsia="宋体" w:cs="宋体"/>
                <w:color w:val="000000" w:themeColor="text1"/>
                <w:szCs w:val="24"/>
                <w:highlight w:val="none"/>
                <w:lang w:val="en-US" w:eastAsia="zh-CN"/>
                <w14:textFill>
                  <w14:solidFill>
                    <w14:schemeClr w14:val="tx1"/>
                  </w14:solidFill>
                </w14:textFill>
              </w:rPr>
              <w:t>武李阳</w:t>
            </w:r>
          </w:p>
          <w:p w14:paraId="0E9114B5">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r>
              <w:rPr>
                <w:rFonts w:hint="eastAsia" w:ascii="宋体" w:hAnsi="宋体" w:eastAsia="宋体" w:cs="宋体"/>
                <w:color w:val="000000" w:themeColor="text1"/>
                <w:szCs w:val="24"/>
                <w:highlight w:val="none"/>
                <w:lang w:val="en-US" w:eastAsia="zh-CN"/>
                <w14:textFill>
                  <w14:solidFill>
                    <w14:schemeClr w14:val="tx1"/>
                  </w14:solidFill>
                </w14:textFill>
              </w:rPr>
              <w:t>0917-4230258</w:t>
            </w:r>
          </w:p>
        </w:tc>
      </w:tr>
      <w:tr w14:paraId="2F3B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2D8B118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p>
        </w:tc>
        <w:tc>
          <w:tcPr>
            <w:tcW w:w="2084" w:type="dxa"/>
            <w:vAlign w:val="center"/>
          </w:tcPr>
          <w:p w14:paraId="18B58D4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w:t>
            </w:r>
          </w:p>
        </w:tc>
        <w:tc>
          <w:tcPr>
            <w:tcW w:w="6546" w:type="dxa"/>
            <w:vAlign w:val="center"/>
          </w:tcPr>
          <w:p w14:paraId="75A25616">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名称：</w:t>
            </w:r>
            <w:r>
              <w:rPr>
                <w:rFonts w:hint="eastAsia" w:ascii="宋体" w:hAnsi="宋体" w:eastAsia="宋体" w:cs="宋体"/>
                <w:color w:val="000000" w:themeColor="text1"/>
                <w:szCs w:val="24"/>
                <w:highlight w:val="none"/>
                <w:lang w:eastAsia="zh-CN"/>
                <w14:textFill>
                  <w14:solidFill>
                    <w14:schemeClr w14:val="tx1"/>
                  </w14:solidFill>
                </w14:textFill>
              </w:rPr>
              <w:t>华地众信工程项目管理有限公司</w:t>
            </w:r>
          </w:p>
          <w:p w14:paraId="325EDC1F">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地址：</w:t>
            </w:r>
            <w:r>
              <w:rPr>
                <w:rFonts w:hint="eastAsia" w:ascii="宋体" w:hAnsi="宋体" w:eastAsia="宋体" w:cs="宋体"/>
                <w:color w:val="000000" w:themeColor="text1"/>
                <w:szCs w:val="24"/>
                <w:highlight w:val="none"/>
                <w:lang w:eastAsia="zh-CN"/>
                <w14:textFill>
                  <w14:solidFill>
                    <w14:schemeClr w14:val="tx1"/>
                  </w14:solidFill>
                </w14:textFill>
              </w:rPr>
              <w:t>陕西省宝鸡市高新开发区马营镇高新锦园4号楼一单元1604室</w:t>
            </w:r>
          </w:p>
          <w:p w14:paraId="1E15E6FC">
            <w:pPr>
              <w:spacing w:line="500" w:lineRule="exact"/>
              <w:rPr>
                <w:rFonts w:hint="default" w:ascii="宋体" w:hAnsi="宋体" w:eastAsia="宋体" w:cs="宋体"/>
                <w:b/>
                <w:color w:val="000000" w:themeColor="text1"/>
                <w:szCs w:val="24"/>
                <w:highlight w:val="none"/>
                <w:u w:val="wavyHeavy" w:color="FF0000"/>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r>
              <w:rPr>
                <w:rFonts w:hint="eastAsia" w:ascii="宋体" w:hAnsi="宋体" w:eastAsia="宋体" w:cs="宋体"/>
                <w:color w:val="000000" w:themeColor="text1"/>
                <w:szCs w:val="24"/>
                <w:highlight w:val="none"/>
                <w:lang w:val="en-US" w:eastAsia="zh-CN"/>
                <w14:textFill>
                  <w14:solidFill>
                    <w14:schemeClr w14:val="tx1"/>
                  </w14:solidFill>
                </w14:textFill>
              </w:rPr>
              <w:t>陈佩瑶</w:t>
            </w:r>
          </w:p>
          <w:p w14:paraId="026D0939">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联系方式：18091731152</w:t>
            </w:r>
          </w:p>
        </w:tc>
      </w:tr>
      <w:tr w14:paraId="4D3A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vAlign w:val="center"/>
          </w:tcPr>
          <w:p w14:paraId="463467D7">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p>
        </w:tc>
        <w:tc>
          <w:tcPr>
            <w:tcW w:w="2084" w:type="dxa"/>
            <w:vAlign w:val="center"/>
          </w:tcPr>
          <w:p w14:paraId="370E1A5F">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项目名称</w:t>
            </w:r>
          </w:p>
        </w:tc>
        <w:tc>
          <w:tcPr>
            <w:tcW w:w="6546" w:type="dxa"/>
            <w:vAlign w:val="center"/>
          </w:tcPr>
          <w:p w14:paraId="2106DCE9">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居家和社区基本养老服务提升行动项目Ⅰ标段</w:t>
            </w:r>
          </w:p>
        </w:tc>
      </w:tr>
      <w:tr w14:paraId="714D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09" w:type="dxa"/>
            <w:vAlign w:val="center"/>
          </w:tcPr>
          <w:p w14:paraId="6A231132">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57567CF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项目编号</w:t>
            </w:r>
          </w:p>
        </w:tc>
        <w:tc>
          <w:tcPr>
            <w:tcW w:w="6546" w:type="dxa"/>
            <w:vAlign w:val="center"/>
          </w:tcPr>
          <w:p w14:paraId="287908AD">
            <w:pPr>
              <w:widowControl/>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HDZX2025（027）CG</w:t>
            </w:r>
            <w:r>
              <w:rPr>
                <w:rFonts w:hint="eastAsia" w:ascii="宋体" w:hAnsi="宋体" w:eastAsia="宋体" w:cs="宋体"/>
                <w:color w:val="000000" w:themeColor="text1"/>
                <w:szCs w:val="24"/>
                <w:highlight w:val="none"/>
                <w:lang w:val="en-US" w:eastAsia="zh-CN"/>
                <w14:textFill>
                  <w14:solidFill>
                    <w14:schemeClr w14:val="tx1"/>
                  </w14:solidFill>
                </w14:textFill>
              </w:rPr>
              <w:t>-1</w:t>
            </w:r>
          </w:p>
        </w:tc>
      </w:tr>
      <w:tr w14:paraId="4969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1880A29A">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7C4EDDCE">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资金性质</w:t>
            </w:r>
          </w:p>
        </w:tc>
        <w:tc>
          <w:tcPr>
            <w:tcW w:w="6546" w:type="dxa"/>
            <w:vAlign w:val="center"/>
          </w:tcPr>
          <w:p w14:paraId="5393397F">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中央专项彩票公益金支持居家和社区基本养老服务提升行动项目资金</w:t>
            </w:r>
          </w:p>
        </w:tc>
      </w:tr>
      <w:tr w14:paraId="5C65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49F696E1">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1E7952BA">
            <w:pPr>
              <w:spacing w:line="500" w:lineRule="exact"/>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项目采购预算</w:t>
            </w:r>
            <w:r>
              <w:rPr>
                <w:rFonts w:hint="eastAsia" w:ascii="宋体" w:hAnsi="宋体" w:eastAsia="宋体" w:cs="宋体"/>
                <w:color w:val="000000" w:themeColor="text1"/>
                <w:szCs w:val="24"/>
                <w:highlight w:val="none"/>
                <w:lang w:val="en-US" w:eastAsia="zh-CN"/>
                <w14:textFill>
                  <w14:solidFill>
                    <w14:schemeClr w14:val="tx1"/>
                  </w14:solidFill>
                </w14:textFill>
              </w:rPr>
              <w:t>及最高限价</w:t>
            </w:r>
          </w:p>
        </w:tc>
        <w:tc>
          <w:tcPr>
            <w:tcW w:w="6546" w:type="dxa"/>
            <w:vAlign w:val="center"/>
          </w:tcPr>
          <w:p w14:paraId="09525E39">
            <w:pPr>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342000.00</w:t>
            </w:r>
            <w:r>
              <w:rPr>
                <w:rFonts w:hint="eastAsia" w:ascii="宋体" w:hAnsi="宋体" w:eastAsia="宋体" w:cs="宋体"/>
                <w:color w:val="000000" w:themeColor="text1"/>
                <w:szCs w:val="24"/>
                <w:highlight w:val="none"/>
                <w14:textFill>
                  <w14:solidFill>
                    <w14:schemeClr w14:val="tx1"/>
                  </w14:solidFill>
                </w14:textFill>
              </w:rPr>
              <w:t>元</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p>
        </w:tc>
      </w:tr>
      <w:tr w14:paraId="2AB0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709" w:type="dxa"/>
            <w:vAlign w:val="center"/>
          </w:tcPr>
          <w:p w14:paraId="7998DD1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p>
        </w:tc>
        <w:tc>
          <w:tcPr>
            <w:tcW w:w="2084" w:type="dxa"/>
            <w:vAlign w:val="center"/>
          </w:tcPr>
          <w:p w14:paraId="478DF2F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项目用途</w:t>
            </w:r>
          </w:p>
        </w:tc>
        <w:tc>
          <w:tcPr>
            <w:tcW w:w="6546" w:type="dxa"/>
            <w:vAlign w:val="center"/>
          </w:tcPr>
          <w:p w14:paraId="626D362E">
            <w:pPr>
              <w:spacing w:line="500" w:lineRule="exact"/>
              <w:rPr>
                <w:rFonts w:ascii="宋体" w:hAnsi="宋体" w:eastAsia="宋体" w:cs="宋体"/>
                <w:bCs/>
                <w:color w:val="000000" w:themeColor="text1"/>
                <w:szCs w:val="24"/>
                <w:highlight w:val="none"/>
                <w14:textFill>
                  <w14:solidFill>
                    <w14:schemeClr w14:val="tx1"/>
                  </w14:solidFill>
                </w14:textFill>
              </w:rPr>
            </w:pPr>
            <w:r>
              <w:rPr>
                <w:rFonts w:ascii="宋体" w:hAnsi="宋体" w:eastAsia="宋体" w:cs="宋体"/>
                <w:bCs/>
                <w:color w:val="000000" w:themeColor="text1"/>
                <w:szCs w:val="24"/>
                <w:highlight w:val="none"/>
                <w14:textFill>
                  <w14:solidFill>
                    <w14:schemeClr w14:val="tx1"/>
                  </w14:solidFill>
                </w14:textFill>
              </w:rPr>
              <w:t>通过中央专项彩票公益金支持，面向全</w:t>
            </w:r>
            <w:r>
              <w:rPr>
                <w:rFonts w:hint="eastAsia" w:ascii="宋体" w:hAnsi="宋体" w:eastAsia="宋体" w:cs="宋体"/>
                <w:bCs/>
                <w:color w:val="000000" w:themeColor="text1"/>
                <w:szCs w:val="24"/>
                <w:highlight w:val="none"/>
                <w:lang w:eastAsia="zh-CN"/>
                <w14:textFill>
                  <w14:solidFill>
                    <w14:schemeClr w14:val="tx1"/>
                  </w14:solidFill>
                </w14:textFill>
              </w:rPr>
              <w:t>县</w:t>
            </w:r>
            <w:r>
              <w:rPr>
                <w:rFonts w:ascii="宋体" w:hAnsi="宋体" w:eastAsia="宋体" w:cs="宋体"/>
                <w:bCs/>
                <w:color w:val="000000" w:themeColor="text1"/>
                <w:szCs w:val="24"/>
                <w:highlight w:val="none"/>
                <w14:textFill>
                  <w14:solidFill>
                    <w14:schemeClr w14:val="tx1"/>
                  </w14:solidFill>
                </w14:textFill>
              </w:rPr>
              <w:t>经济困难的失能老年人提供居家养老上门服务，打造具有</w:t>
            </w:r>
            <w:r>
              <w:rPr>
                <w:rFonts w:hint="eastAsia" w:ascii="宋体" w:hAnsi="宋体" w:eastAsia="宋体" w:cs="宋体"/>
                <w:bCs/>
                <w:color w:val="000000" w:themeColor="text1"/>
                <w:szCs w:val="24"/>
                <w:highlight w:val="none"/>
                <w:lang w:eastAsia="zh-CN"/>
                <w14:textFill>
                  <w14:solidFill>
                    <w14:schemeClr w14:val="tx1"/>
                  </w14:solidFill>
                </w14:textFill>
              </w:rPr>
              <w:t>千阳</w:t>
            </w:r>
            <w:r>
              <w:rPr>
                <w:rFonts w:ascii="宋体" w:hAnsi="宋体" w:eastAsia="宋体" w:cs="宋体"/>
                <w:bCs/>
                <w:color w:val="000000" w:themeColor="text1"/>
                <w:szCs w:val="24"/>
                <w:highlight w:val="none"/>
                <w14:textFill>
                  <w14:solidFill>
                    <w14:schemeClr w14:val="tx1"/>
                  </w14:solidFill>
                </w14:textFill>
              </w:rPr>
              <w:t>特色的居家和社区养老服务模式，建立健全居家和社区养老服务高质量发展制度机制。</w:t>
            </w:r>
          </w:p>
        </w:tc>
      </w:tr>
      <w:tr w14:paraId="6E56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709" w:type="dxa"/>
            <w:vAlign w:val="center"/>
          </w:tcPr>
          <w:p w14:paraId="65CA56B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8</w:t>
            </w:r>
          </w:p>
        </w:tc>
        <w:tc>
          <w:tcPr>
            <w:tcW w:w="2084" w:type="dxa"/>
            <w:vAlign w:val="center"/>
          </w:tcPr>
          <w:p w14:paraId="11033D13">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采购内容和要求</w:t>
            </w:r>
          </w:p>
        </w:tc>
        <w:tc>
          <w:tcPr>
            <w:tcW w:w="6546" w:type="dxa"/>
            <w:vAlign w:val="center"/>
          </w:tcPr>
          <w:p w14:paraId="0D3B3FEE">
            <w:pPr>
              <w:pStyle w:val="57"/>
              <w:spacing w:line="500" w:lineRule="exact"/>
              <w:ind w:firstLine="0" w:firstLineChars="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居家养老上门服务：根据老年人能力评估情况，为有需求的老年人提供助餐、助浴、助洁、助行、助医、助急等居家养老上门服务。支持符合条件的老年人开展家庭养老床位改造并同时享受居家养老上门服务，统计任务时分别计算。助餐、送餐为必选项，优先保障老年人用餐等基本服务需求。（详见采购内容及要求）</w:t>
            </w:r>
          </w:p>
        </w:tc>
      </w:tr>
      <w:tr w14:paraId="6B03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10A5099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9</w:t>
            </w:r>
          </w:p>
        </w:tc>
        <w:tc>
          <w:tcPr>
            <w:tcW w:w="2084" w:type="dxa"/>
            <w:vAlign w:val="center"/>
          </w:tcPr>
          <w:p w14:paraId="403B32C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w:t>
            </w:r>
          </w:p>
        </w:tc>
        <w:tc>
          <w:tcPr>
            <w:tcW w:w="6546" w:type="dxa"/>
            <w:vAlign w:val="center"/>
          </w:tcPr>
          <w:p w14:paraId="256E7ED1">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符合本次竞争性磋商所规定的资格条件，从采购代理机构处获取竞争性磋商文件，并自愿参加磋商活动的供应商。</w:t>
            </w:r>
          </w:p>
        </w:tc>
      </w:tr>
      <w:tr w14:paraId="2EAF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05451BFB">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0</w:t>
            </w:r>
          </w:p>
        </w:tc>
        <w:tc>
          <w:tcPr>
            <w:tcW w:w="2084" w:type="dxa"/>
            <w:vAlign w:val="center"/>
          </w:tcPr>
          <w:p w14:paraId="3AABF61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供应商资格要求</w:t>
            </w:r>
          </w:p>
        </w:tc>
        <w:tc>
          <w:tcPr>
            <w:tcW w:w="6546" w:type="dxa"/>
            <w:vAlign w:val="center"/>
          </w:tcPr>
          <w:p w14:paraId="2586EECA">
            <w:pPr>
              <w:pStyle w:val="32"/>
              <w:widowControl/>
              <w:wordWrap w:val="0"/>
              <w:spacing w:line="560" w:lineRule="exact"/>
              <w:jc w:val="both"/>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资格条件：</w:t>
            </w:r>
          </w:p>
          <w:p w14:paraId="3448BA63">
            <w:pPr>
              <w:pStyle w:val="32"/>
              <w:widowControl/>
              <w:numPr>
                <w:ilvl w:val="0"/>
                <w:numId w:val="0"/>
              </w:numPr>
              <w:wordWrap w:val="0"/>
              <w:spacing w:line="560" w:lineRule="exact"/>
              <w:jc w:val="both"/>
              <w:rPr>
                <w:rFonts w:hint="eastAsia"/>
                <w:highlight w:val="none"/>
              </w:rPr>
            </w:pPr>
            <w:r>
              <w:rPr>
                <w:rFonts w:hint="eastAsia" w:asciiTheme="majorEastAsia" w:hAnsiTheme="majorEastAsia" w:eastAsiaTheme="majorEastAsia" w:cstheme="majorEastAsia"/>
                <w:sz w:val="24"/>
                <w:szCs w:val="24"/>
                <w:highlight w:val="none"/>
                <w:shd w:val="clear" w:color="auto" w:fill="FFFFFF"/>
                <w:lang w:val="en-US" w:eastAsia="zh-CN"/>
              </w:rPr>
              <w:t>1）</w:t>
            </w: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3E07D856">
            <w:pPr>
              <w:pStyle w:val="32"/>
              <w:widowControl/>
              <w:numPr>
                <w:ilvl w:val="0"/>
                <w:numId w:val="0"/>
              </w:numPr>
              <w:wordWrap w:val="0"/>
              <w:spacing w:line="560" w:lineRule="exact"/>
              <w:jc w:val="both"/>
              <w:rPr>
                <w:rFonts w:hint="eastAsia" w:eastAsiaTheme="majorEastAsia"/>
                <w:highlight w:val="none"/>
                <w:lang w:eastAsia="zh-CN"/>
              </w:rPr>
            </w:pPr>
            <w:r>
              <w:rPr>
                <w:rFonts w:hint="eastAsia" w:asciiTheme="majorEastAsia" w:hAnsiTheme="majorEastAsia" w:eastAsiaTheme="majorEastAsia" w:cstheme="majorEastAsia"/>
                <w:sz w:val="24"/>
                <w:szCs w:val="24"/>
                <w:highlight w:val="none"/>
                <w:shd w:val="clear" w:color="auto" w:fill="FFFFFF"/>
              </w:rPr>
              <w:t>2）财务状况报告：</w:t>
            </w:r>
            <w:r>
              <w:rPr>
                <w:rFonts w:hint="eastAsia" w:asciiTheme="majorEastAsia" w:hAnsiTheme="majorEastAsia" w:eastAsiaTheme="majorEastAsia" w:cstheme="majorEastAsia"/>
                <w:sz w:val="24"/>
                <w:szCs w:val="24"/>
                <w:highlight w:val="none"/>
                <w:shd w:val="clear" w:color="auto" w:fill="FFFFFF"/>
                <w:lang w:eastAsia="zh-CN"/>
              </w:rPr>
              <w:t>供应商须提供2024年度的财务审计报告（至少包括资产负债表和利润表，成立时间至提交响应文件截止时间不足一年的可提供成立后任意时段的资产负债表）或开标前六个月内其基本账户开户银行出具的资信证明。其他组织和自然人提供开标前六个月内银行出具的资信证明；</w:t>
            </w:r>
          </w:p>
          <w:p w14:paraId="3ACA1565">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已缴存的至少六个月的社会保障资金缴存单据或社保机构开具的社会保险参保缴费情况证明，依法不需要缴纳社会保障资金的单位应提供相关证明材料；</w:t>
            </w:r>
          </w:p>
          <w:p w14:paraId="3F1494D4">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已缴存的至少六个月的纳税证明或完税证明，依法免税的单位应提供相关证明材料</w:t>
            </w:r>
            <w:r>
              <w:rPr>
                <w:rFonts w:hint="eastAsia" w:asciiTheme="majorEastAsia" w:hAnsiTheme="majorEastAsia" w:eastAsiaTheme="majorEastAsia" w:cstheme="majorEastAsia"/>
                <w:sz w:val="24"/>
                <w:szCs w:val="24"/>
                <w:highlight w:val="none"/>
                <w:shd w:val="clear" w:color="auto" w:fill="FFFFFF"/>
                <w:lang w:val="en-US" w:eastAsia="zh-CN"/>
              </w:rPr>
              <w:t>；</w:t>
            </w:r>
          </w:p>
          <w:p w14:paraId="199B0D41">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供应商未被列入“信用中国”网站(www.creditchina.gov.cn)“失信被执行人和重大税收违法失信主体；未被列入“中国政府采购网”(www.ccgp.gov.cn)“政府采购严重违法失信行为信息记录”</w:t>
            </w:r>
            <w:r>
              <w:rPr>
                <w:rFonts w:hint="eastAsia" w:asciiTheme="majorEastAsia" w:hAnsiTheme="majorEastAsia" w:eastAsiaTheme="majorEastAsia" w:cstheme="majorEastAsia"/>
                <w:sz w:val="24"/>
                <w:szCs w:val="24"/>
                <w:highlight w:val="none"/>
                <w:shd w:val="clear" w:color="auto" w:fill="FFFFFF"/>
              </w:rPr>
              <w:t>；</w:t>
            </w:r>
          </w:p>
          <w:p w14:paraId="6F133E03">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79661385">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00896F39">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法定代表人参加投标的，须出具本人身份证，并与营业执照上信息一致，授权代表参加投标的须出具法定代表人身份证明、授权代表身份证复印件及授权代表身份证原件。竞争性磋商文件中凡是需要法定代表人盖章（签字）之处，非法人单位的负责人均参照执行；</w:t>
            </w:r>
          </w:p>
          <w:p w14:paraId="16C69019">
            <w:pPr>
              <w:pStyle w:val="32"/>
              <w:widowControl/>
              <w:wordWrap w:val="0"/>
              <w:spacing w:line="560" w:lineRule="exact"/>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0E006A47">
            <w:pPr>
              <w:pStyle w:val="143"/>
              <w:pageBreakBefore w:val="0"/>
              <w:shd w:val="clear" w:color="auto" w:fill="FFFFFF"/>
              <w:kinsoku/>
              <w:overflowPunct/>
              <w:topLinePunct w:val="0"/>
              <w:autoSpaceDE/>
              <w:autoSpaceDN/>
              <w:bidi w:val="0"/>
              <w:snapToGrid/>
              <w:spacing w:before="0" w:beforeAutospacing="0" w:after="0" w:afterAutospacing="0" w:line="520" w:lineRule="exact"/>
              <w:jc w:val="both"/>
              <w:rPr>
                <w:highlight w:val="none"/>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tc>
      </w:tr>
      <w:tr w14:paraId="601F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09" w:type="dxa"/>
            <w:vAlign w:val="center"/>
          </w:tcPr>
          <w:p w14:paraId="2FD5A951">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1</w:t>
            </w:r>
          </w:p>
        </w:tc>
        <w:tc>
          <w:tcPr>
            <w:tcW w:w="2084" w:type="dxa"/>
            <w:vAlign w:val="center"/>
          </w:tcPr>
          <w:p w14:paraId="3A4EAD68">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服务期限及服务地点</w:t>
            </w:r>
          </w:p>
        </w:tc>
        <w:tc>
          <w:tcPr>
            <w:tcW w:w="6546" w:type="dxa"/>
            <w:vAlign w:val="center"/>
          </w:tcPr>
          <w:p w14:paraId="7195F12B">
            <w:pPr>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服务期限：</w:t>
            </w:r>
            <w:r>
              <w:rPr>
                <w:rStyle w:val="40"/>
                <w:rFonts w:hint="eastAsia" w:ascii="宋体" w:hAnsi="宋体" w:eastAsia="宋体" w:cs="宋体"/>
                <w:b w:val="0"/>
                <w:bCs w:val="0"/>
                <w:szCs w:val="24"/>
                <w:highlight w:val="none"/>
                <w:shd w:val="clear" w:color="auto" w:fill="FFFFFF"/>
              </w:rPr>
              <w:t>自签订合同之日起</w:t>
            </w:r>
            <w:r>
              <w:rPr>
                <w:rStyle w:val="40"/>
                <w:rFonts w:hint="eastAsia" w:ascii="宋体" w:hAnsi="宋体" w:eastAsia="宋体" w:cs="宋体"/>
                <w:b w:val="0"/>
                <w:bCs w:val="0"/>
                <w:szCs w:val="24"/>
                <w:highlight w:val="none"/>
                <w:shd w:val="clear" w:color="auto" w:fill="FFFFFF"/>
                <w:lang w:val="en-US" w:eastAsia="zh-CN"/>
              </w:rPr>
              <w:t>1年（具体服务起止日期可随合同签订时间相应顺延）</w:t>
            </w:r>
          </w:p>
          <w:p w14:paraId="7604E7C2">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rPr>
              <w:t>质量标准：合格，符合现行国家、地方及行业相关规范及</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要求。</w:t>
            </w:r>
          </w:p>
          <w:p w14:paraId="1B2B1B5B">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服务地点：</w:t>
            </w:r>
            <w:r>
              <w:rPr>
                <w:rFonts w:hint="eastAsia" w:ascii="宋体" w:hAnsi="宋体" w:eastAsia="宋体" w:cs="宋体"/>
                <w:color w:val="000000" w:themeColor="text1"/>
                <w:szCs w:val="24"/>
                <w:highlight w:val="none"/>
                <w:lang w:val="en-US" w:eastAsia="zh-CN"/>
                <w14:textFill>
                  <w14:solidFill>
                    <w14:schemeClr w14:val="tx1"/>
                  </w14:solidFill>
                </w14:textFill>
              </w:rPr>
              <w:t>采购人指定地点</w:t>
            </w:r>
            <w:r>
              <w:rPr>
                <w:rFonts w:hint="eastAsia" w:ascii="宋体" w:hAnsi="宋体" w:eastAsia="宋体" w:cs="宋体"/>
                <w:color w:val="000000" w:themeColor="text1"/>
                <w:szCs w:val="24"/>
                <w:highlight w:val="none"/>
                <w14:textFill>
                  <w14:solidFill>
                    <w14:schemeClr w14:val="tx1"/>
                  </w14:solidFill>
                </w14:textFill>
              </w:rPr>
              <w:t>。</w:t>
            </w:r>
          </w:p>
        </w:tc>
      </w:tr>
      <w:tr w14:paraId="2701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64DA0E04">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2</w:t>
            </w:r>
          </w:p>
        </w:tc>
        <w:tc>
          <w:tcPr>
            <w:tcW w:w="2084" w:type="dxa"/>
            <w:vAlign w:val="center"/>
          </w:tcPr>
          <w:p w14:paraId="081AD105">
            <w:pPr>
              <w:spacing w:line="500" w:lineRule="exact"/>
              <w:jc w:val="center"/>
              <w:rPr>
                <w:rFonts w:ascii="宋体" w:hAnsi="宋体" w:eastAsia="宋体" w:cs="宋体"/>
                <w:color w:val="000000" w:themeColor="text1"/>
                <w:szCs w:val="24"/>
                <w:highlight w:val="none"/>
                <w:u w:val="wavyHeavy" w:color="5B9BD5" w:themeColor="accent1"/>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竞争性磋商文件获取</w:t>
            </w:r>
          </w:p>
        </w:tc>
        <w:tc>
          <w:tcPr>
            <w:tcW w:w="6546" w:type="dxa"/>
            <w:vAlign w:val="center"/>
          </w:tcPr>
          <w:p w14:paraId="6A393A37">
            <w:pPr>
              <w:spacing w:line="500" w:lineRule="exact"/>
              <w:rPr>
                <w:rFonts w:hint="eastAsia" w:ascii="宋体" w:hAnsi="宋体" w:eastAsia="宋体" w:cs="宋体"/>
                <w:color w:val="FF0000"/>
                <w:szCs w:val="24"/>
                <w:highlight w:val="none"/>
                <w:lang w:eastAsia="zh-CN"/>
              </w:rPr>
            </w:pPr>
            <w:r>
              <w:rPr>
                <w:rFonts w:hint="eastAsia" w:ascii="宋体" w:hAnsi="宋体" w:eastAsia="宋体" w:cs="宋体"/>
                <w:szCs w:val="24"/>
                <w:highlight w:val="none"/>
              </w:rPr>
              <w:t>获取时间：</w:t>
            </w:r>
            <w:r>
              <w:rPr>
                <w:rFonts w:hint="eastAsia" w:ascii="宋体" w:hAnsi="宋体" w:eastAsia="宋体" w:cs="宋体"/>
                <w:szCs w:val="24"/>
                <w:highlight w:val="none"/>
                <w:lang w:eastAsia="zh-CN"/>
              </w:rPr>
              <w:t>2025年10月20日至2025年10月24日</w:t>
            </w:r>
          </w:p>
          <w:p w14:paraId="71C22367">
            <w:pPr>
              <w:pStyle w:val="13"/>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获取方式：供应商可登录全国公共资源交易平台-陕西省公共资源交易平台（陕西省·宝鸡市）下载电子竞争性磋商文件，逾期未办理的，视为自动放弃。</w:t>
            </w:r>
          </w:p>
        </w:tc>
      </w:tr>
      <w:tr w14:paraId="2D19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709" w:type="dxa"/>
            <w:vAlign w:val="center"/>
          </w:tcPr>
          <w:p w14:paraId="28A2C1D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3</w:t>
            </w:r>
          </w:p>
        </w:tc>
        <w:tc>
          <w:tcPr>
            <w:tcW w:w="2084" w:type="dxa"/>
            <w:vAlign w:val="center"/>
          </w:tcPr>
          <w:p w14:paraId="6E20A906">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联合体投标</w:t>
            </w:r>
          </w:p>
        </w:tc>
        <w:tc>
          <w:tcPr>
            <w:tcW w:w="6546" w:type="dxa"/>
            <w:vAlign w:val="center"/>
          </w:tcPr>
          <w:p w14:paraId="6045EC58">
            <w:pPr>
              <w:tabs>
                <w:tab w:val="left" w:pos="7013"/>
              </w:tabs>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不接受</w:t>
            </w:r>
          </w:p>
        </w:tc>
      </w:tr>
      <w:tr w14:paraId="77CA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vAlign w:val="center"/>
          </w:tcPr>
          <w:p w14:paraId="3E7744F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0FCE35F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现场勘查</w:t>
            </w:r>
          </w:p>
        </w:tc>
        <w:tc>
          <w:tcPr>
            <w:tcW w:w="6546" w:type="dxa"/>
            <w:vAlign w:val="center"/>
          </w:tcPr>
          <w:p w14:paraId="4B386188">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不组织</w:t>
            </w:r>
          </w:p>
        </w:tc>
      </w:tr>
      <w:tr w14:paraId="5474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709" w:type="dxa"/>
            <w:vAlign w:val="center"/>
          </w:tcPr>
          <w:p w14:paraId="42398A2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30997E77">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供应商对竞争性磋商文件提出质疑的时间</w:t>
            </w:r>
          </w:p>
        </w:tc>
        <w:tc>
          <w:tcPr>
            <w:tcW w:w="6546" w:type="dxa"/>
            <w:vAlign w:val="center"/>
          </w:tcPr>
          <w:p w14:paraId="75A26AE6">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供应商认为竞争性磋商文件使自己的权益受到损害的，在收到竞争性磋商文件之日起七个工作日内以书面形式向采购代理机构提出质疑，逾期提出的无效</w:t>
            </w:r>
            <w:r>
              <w:rPr>
                <w:rFonts w:hint="eastAsia" w:ascii="宋体" w:hAnsi="宋体" w:eastAsia="宋体" w:cs="宋体"/>
                <w:color w:val="000000" w:themeColor="text1"/>
                <w:szCs w:val="24"/>
                <w:highlight w:val="none"/>
                <w:lang w:eastAsia="zh-CN"/>
                <w14:textFill>
                  <w14:solidFill>
                    <w14:schemeClr w14:val="tx1"/>
                  </w14:solidFill>
                </w14:textFill>
              </w:rPr>
              <w:t>。</w:t>
            </w:r>
          </w:p>
        </w:tc>
      </w:tr>
      <w:tr w14:paraId="5DA5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22CE4BA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41FA676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构成竞争性磋商文件的其他文件</w:t>
            </w:r>
          </w:p>
        </w:tc>
        <w:tc>
          <w:tcPr>
            <w:tcW w:w="6546" w:type="dxa"/>
            <w:vAlign w:val="center"/>
          </w:tcPr>
          <w:p w14:paraId="57216C64">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竞争性磋商文件的澄清、修改书及有关补充通知为竞争性磋商文件的有效组成部分。</w:t>
            </w:r>
          </w:p>
        </w:tc>
      </w:tr>
      <w:tr w14:paraId="0420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709" w:type="dxa"/>
            <w:vAlign w:val="center"/>
          </w:tcPr>
          <w:p w14:paraId="5D36063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7</w:t>
            </w:r>
          </w:p>
        </w:tc>
        <w:tc>
          <w:tcPr>
            <w:tcW w:w="2084" w:type="dxa"/>
            <w:vAlign w:val="center"/>
          </w:tcPr>
          <w:p w14:paraId="4084C5D8">
            <w:pPr>
              <w:pStyle w:val="58"/>
              <w:spacing w:line="50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响应文件提交截止时间、开标时间和地点</w:t>
            </w:r>
          </w:p>
        </w:tc>
        <w:tc>
          <w:tcPr>
            <w:tcW w:w="6546" w:type="dxa"/>
            <w:vAlign w:val="center"/>
          </w:tcPr>
          <w:p w14:paraId="5F744E07">
            <w:pPr>
              <w:pStyle w:val="58"/>
              <w:spacing w:line="500" w:lineRule="exact"/>
              <w:rPr>
                <w:rFonts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1、响应文件提交截止时</w:t>
            </w:r>
            <w:r>
              <w:rPr>
                <w:rFonts w:hint="eastAsia" w:ascii="宋体" w:hAnsi="宋体" w:eastAsia="宋体" w:cs="宋体"/>
                <w:sz w:val="24"/>
                <w:szCs w:val="24"/>
                <w:highlight w:val="none"/>
              </w:rPr>
              <w:t>间：</w:t>
            </w:r>
            <w:r>
              <w:rPr>
                <w:rFonts w:hint="eastAsia" w:ascii="宋体" w:hAnsi="宋体" w:eastAsia="宋体" w:cs="宋体"/>
                <w:sz w:val="24"/>
                <w:szCs w:val="24"/>
                <w:highlight w:val="none"/>
                <w:lang w:eastAsia="zh-CN"/>
              </w:rPr>
              <w:t>2025年10月30日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0前</w:t>
            </w:r>
          </w:p>
          <w:p w14:paraId="5E16843E">
            <w:pPr>
              <w:pStyle w:val="58"/>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2、开标时间：</w:t>
            </w:r>
            <w:r>
              <w:rPr>
                <w:rFonts w:hint="eastAsia" w:ascii="宋体" w:hAnsi="宋体" w:eastAsia="宋体" w:cs="宋体"/>
                <w:sz w:val="24"/>
                <w:szCs w:val="24"/>
                <w:highlight w:val="none"/>
                <w:lang w:eastAsia="zh-CN"/>
              </w:rPr>
              <w:t>2025年10月30日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0整</w:t>
            </w:r>
          </w:p>
          <w:p w14:paraId="646BD352">
            <w:pPr>
              <w:pStyle w:val="58"/>
              <w:spacing w:line="500" w:lineRule="exac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t>3、开标地点：</w:t>
            </w:r>
            <w:r>
              <w:rPr>
                <w:rFonts w:hint="eastAsia" w:ascii="宋体" w:hAnsi="宋体" w:eastAsia="宋体" w:cs="宋体"/>
                <w:sz w:val="24"/>
                <w:szCs w:val="24"/>
              </w:rPr>
              <w:t>全国公共资源交易平台（陕西省.宝鸡市）不见面开标大厅系统</w:t>
            </w:r>
          </w:p>
        </w:tc>
      </w:tr>
      <w:tr w14:paraId="6BDB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6B1C1494">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8</w:t>
            </w:r>
          </w:p>
        </w:tc>
        <w:tc>
          <w:tcPr>
            <w:tcW w:w="2084" w:type="dxa"/>
            <w:vAlign w:val="center"/>
          </w:tcPr>
          <w:p w14:paraId="5028C510">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投标有效期</w:t>
            </w:r>
          </w:p>
        </w:tc>
        <w:tc>
          <w:tcPr>
            <w:tcW w:w="6546" w:type="dxa"/>
            <w:vAlign w:val="center"/>
          </w:tcPr>
          <w:p w14:paraId="045CF400">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自提交响应文件的截止之日起90日历天</w:t>
            </w:r>
          </w:p>
        </w:tc>
      </w:tr>
      <w:tr w14:paraId="2D72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709" w:type="dxa"/>
            <w:vAlign w:val="center"/>
          </w:tcPr>
          <w:p w14:paraId="77A3090B">
            <w:pPr>
              <w:spacing w:line="500" w:lineRule="exact"/>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19</w:t>
            </w:r>
          </w:p>
        </w:tc>
        <w:tc>
          <w:tcPr>
            <w:tcW w:w="2084" w:type="dxa"/>
            <w:vAlign w:val="center"/>
          </w:tcPr>
          <w:p w14:paraId="0EDE20A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磋商保证金</w:t>
            </w:r>
          </w:p>
        </w:tc>
        <w:tc>
          <w:tcPr>
            <w:tcW w:w="6546" w:type="dxa"/>
            <w:vAlign w:val="center"/>
          </w:tcPr>
          <w:p w14:paraId="0FDA9C26">
            <w:pPr>
              <w:tabs>
                <w:tab w:val="left" w:pos="7013"/>
              </w:tabs>
              <w:spacing w:line="500" w:lineRule="exact"/>
              <w:rPr>
                <w:rFonts w:hint="eastAsia" w:ascii="宋体" w:hAnsi="宋体" w:eastAsia="宋体" w:cs="宋体"/>
                <w:highlight w:val="none"/>
              </w:rPr>
            </w:pPr>
            <w:r>
              <w:rPr>
                <w:rFonts w:hint="eastAsia" w:asciiTheme="minorEastAsia" w:hAnsiTheme="minorEastAsia" w:eastAsiaTheme="minorEastAsia" w:cstheme="minorEastAsia"/>
                <w:color w:val="auto"/>
                <w:szCs w:val="24"/>
              </w:rPr>
              <w:t>磋商保证金的形式：转账支票、电汇、银行汇票、保函</w:t>
            </w:r>
            <w:r>
              <w:rPr>
                <w:rFonts w:hint="eastAsia" w:asciiTheme="minorEastAsia" w:hAnsiTheme="minorEastAsia" w:cstheme="minorEastAsia"/>
                <w:color w:val="auto"/>
                <w:szCs w:val="24"/>
                <w:lang w:eastAsia="zh-CN"/>
              </w:rPr>
              <w:t>、</w:t>
            </w:r>
            <w:r>
              <w:rPr>
                <w:rFonts w:hint="eastAsia" w:asciiTheme="minorEastAsia" w:hAnsiTheme="minorEastAsia" w:cstheme="minorEastAsia"/>
                <w:color w:val="auto"/>
                <w:szCs w:val="24"/>
                <w:lang w:val="en-US" w:eastAsia="zh-CN"/>
              </w:rPr>
              <w:t>交易保证金</w:t>
            </w:r>
            <w:r>
              <w:rPr>
                <w:rFonts w:hint="eastAsia" w:asciiTheme="minorEastAsia" w:hAnsiTheme="minorEastAsia" w:cstheme="minorEastAsia"/>
                <w:color w:val="auto"/>
                <w:szCs w:val="24"/>
                <w:highlight w:val="none"/>
                <w:lang w:val="en-US" w:eastAsia="zh-CN"/>
              </w:rPr>
              <w:t>信用承诺书</w:t>
            </w:r>
            <w:r>
              <w:rPr>
                <w:rFonts w:hint="eastAsia" w:asciiTheme="minorEastAsia" w:hAnsiTheme="minorEastAsia" w:eastAsiaTheme="minorEastAsia" w:cstheme="minorEastAsia"/>
                <w:color w:val="auto"/>
                <w:szCs w:val="24"/>
                <w:highlight w:val="none"/>
              </w:rPr>
              <w:t>的任何一种。</w:t>
            </w:r>
          </w:p>
          <w:p w14:paraId="3221F7E9">
            <w:pPr>
              <w:spacing w:line="500" w:lineRule="exact"/>
              <w:rPr>
                <w:rFonts w:ascii="宋体" w:hAnsi="宋体" w:eastAsia="宋体" w:cs="宋体"/>
                <w:highlight w:val="green"/>
              </w:rPr>
            </w:pPr>
            <w:r>
              <w:rPr>
                <w:rFonts w:hint="eastAsia" w:ascii="宋体" w:hAnsi="宋体" w:eastAsia="宋体" w:cs="宋体"/>
                <w:highlight w:val="none"/>
                <w:lang w:val="en-US" w:eastAsia="zh-CN"/>
              </w:rPr>
              <w:t>1、</w:t>
            </w:r>
            <w:r>
              <w:rPr>
                <w:rFonts w:hint="eastAsia" w:ascii="宋体" w:hAnsi="宋体" w:eastAsia="宋体" w:cs="宋体"/>
                <w:highlight w:val="none"/>
              </w:rPr>
              <w:t>磋商保证金金额：</w:t>
            </w:r>
            <w:r>
              <w:rPr>
                <w:rFonts w:hint="eastAsia" w:ascii="宋体" w:hAnsi="宋体" w:eastAsia="宋体" w:cs="宋体"/>
                <w:highlight w:val="none"/>
                <w:lang w:val="en-US" w:eastAsia="zh-CN"/>
              </w:rPr>
              <w:t>5000.00</w:t>
            </w:r>
            <w:r>
              <w:rPr>
                <w:rFonts w:hint="eastAsia" w:ascii="宋体" w:hAnsi="宋体" w:eastAsia="宋体" w:cs="宋体"/>
                <w:highlight w:val="none"/>
              </w:rPr>
              <w:t>元（</w:t>
            </w:r>
            <w:r>
              <w:rPr>
                <w:rFonts w:hint="eastAsia" w:ascii="宋体" w:hAnsi="宋体" w:eastAsia="宋体" w:cs="宋体"/>
                <w:highlight w:val="none"/>
                <w:lang w:val="en-US" w:eastAsia="zh-CN"/>
              </w:rPr>
              <w:t>伍仟元整</w:t>
            </w:r>
            <w:r>
              <w:rPr>
                <w:rFonts w:hint="eastAsia" w:ascii="宋体" w:hAnsi="宋体" w:eastAsia="宋体" w:cs="宋体"/>
                <w:highlight w:val="none"/>
              </w:rPr>
              <w:t>）</w:t>
            </w:r>
          </w:p>
          <w:p w14:paraId="6ECF2880">
            <w:pPr>
              <w:spacing w:line="500" w:lineRule="exac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lang w:val="en-US" w:eastAsia="zh-CN"/>
              </w:rPr>
              <w:t>2、</w:t>
            </w:r>
            <w:r>
              <w:rPr>
                <w:rFonts w:hint="eastAsia" w:asciiTheme="minorEastAsia" w:hAnsiTheme="minorEastAsia" w:eastAsiaTheme="minorEastAsia" w:cstheme="minorEastAsia"/>
                <w:color w:val="auto"/>
                <w:szCs w:val="24"/>
              </w:rPr>
              <w:t>供应商须</w:t>
            </w:r>
            <w:r>
              <w:rPr>
                <w:rFonts w:hint="eastAsia" w:asciiTheme="minorEastAsia" w:hAnsiTheme="minorEastAsia" w:eastAsiaTheme="minorEastAsia" w:cstheme="minorEastAsia"/>
                <w:color w:val="auto"/>
                <w:szCs w:val="24"/>
                <w:lang w:val="en-US" w:eastAsia="zh-CN"/>
              </w:rPr>
              <w:t>在</w:t>
            </w:r>
            <w:r>
              <w:rPr>
                <w:rFonts w:hint="eastAsia" w:asciiTheme="minorEastAsia" w:hAnsiTheme="minorEastAsia" w:eastAsiaTheme="minorEastAsia" w:cstheme="minorEastAsia"/>
                <w:color w:val="auto"/>
                <w:szCs w:val="24"/>
              </w:rPr>
              <w:t>响应文件</w:t>
            </w:r>
            <w:r>
              <w:rPr>
                <w:rFonts w:hint="eastAsia" w:asciiTheme="minorEastAsia" w:hAnsiTheme="minorEastAsia" w:eastAsiaTheme="minorEastAsia" w:cstheme="minorEastAsia"/>
                <w:color w:val="auto"/>
                <w:szCs w:val="24"/>
                <w:lang w:val="en-US" w:eastAsia="zh-CN"/>
              </w:rPr>
              <w:t>提交</w:t>
            </w:r>
            <w:r>
              <w:rPr>
                <w:rFonts w:hint="eastAsia" w:asciiTheme="minorEastAsia" w:hAnsiTheme="minorEastAsia" w:eastAsiaTheme="minorEastAsia" w:cstheme="minorEastAsia"/>
                <w:color w:val="auto"/>
                <w:szCs w:val="24"/>
              </w:rPr>
              <w:t>截止时间</w:t>
            </w:r>
            <w:r>
              <w:rPr>
                <w:rFonts w:hint="eastAsia" w:asciiTheme="minorEastAsia" w:hAnsiTheme="minorEastAsia" w:eastAsiaTheme="minorEastAsia" w:cstheme="minorEastAsia"/>
                <w:color w:val="auto"/>
                <w:szCs w:val="24"/>
                <w:lang w:val="en-US" w:eastAsia="zh-CN"/>
              </w:rPr>
              <w:t>前支付</w:t>
            </w:r>
            <w:r>
              <w:rPr>
                <w:rFonts w:hint="eastAsia" w:asciiTheme="minorEastAsia" w:hAnsiTheme="minorEastAsia" w:eastAsiaTheme="minorEastAsia" w:cstheme="minorEastAsia"/>
                <w:color w:val="auto"/>
                <w:szCs w:val="24"/>
              </w:rPr>
              <w:t>磋商保证金。</w:t>
            </w:r>
          </w:p>
          <w:p w14:paraId="3FF45D7E">
            <w:pPr>
              <w:tabs>
                <w:tab w:val="left" w:pos="7013"/>
              </w:tabs>
              <w:spacing w:line="500" w:lineRule="exac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3、除采购人或采购代理机构原因外，转账支付竞争性磋商保证金未能如期到账（基本账户转出），视为未递交竞争性磋商保证金</w:t>
            </w:r>
            <w:r>
              <w:rPr>
                <w:rFonts w:hint="eastAsia" w:asciiTheme="minorEastAsia" w:hAnsiTheme="minorEastAsia" w:eastAsiaTheme="minorEastAsia" w:cstheme="minorEastAsia"/>
                <w:color w:val="auto"/>
                <w:szCs w:val="24"/>
                <w:lang w:eastAsia="zh-CN"/>
              </w:rPr>
              <w:t>。</w:t>
            </w:r>
            <w:r>
              <w:rPr>
                <w:rFonts w:hint="eastAsia" w:asciiTheme="minorEastAsia" w:hAnsiTheme="minorEastAsia" w:eastAsiaTheme="minorEastAsia" w:cstheme="minorEastAsia"/>
                <w:color w:val="auto"/>
                <w:szCs w:val="24"/>
              </w:rPr>
              <w:t>不接受以个人名义交纳的保证金，交纳保证金的供应商名称须与参与磋商的供应商名称一致，否则不予退还。</w:t>
            </w:r>
          </w:p>
          <w:p w14:paraId="6E9346AB">
            <w:pPr>
              <w:tabs>
                <w:tab w:val="left" w:pos="7013"/>
              </w:tabs>
              <w:spacing w:line="500" w:lineRule="exact"/>
              <w:rPr>
                <w:rFonts w:hint="eastAsia" w:eastAsiaTheme="minorEastAsia"/>
                <w:highlight w:val="none"/>
                <w:lang w:val="en-US" w:eastAsia="zh-CN"/>
              </w:rPr>
            </w:pPr>
            <w:r>
              <w:rPr>
                <w:rFonts w:hint="eastAsia" w:asciiTheme="minorEastAsia" w:hAnsiTheme="minorEastAsia" w:eastAsiaTheme="minorEastAsia" w:cstheme="minorEastAsia"/>
                <w:color w:val="auto"/>
                <w:kern w:val="2"/>
                <w:sz w:val="24"/>
                <w:szCs w:val="24"/>
                <w:lang w:val="en-US" w:eastAsia="zh-CN" w:bidi="ar-SA"/>
              </w:rPr>
              <w:t>（温馨提示：由于转账延时性，为避免因保证金未及时到账或延迟到账而导致响应文件被拒绝，各供应商应合理安排转账时间）</w:t>
            </w:r>
          </w:p>
        </w:tc>
      </w:tr>
      <w:tr w14:paraId="5A5C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76DDAFF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0</w:t>
            </w:r>
          </w:p>
        </w:tc>
        <w:tc>
          <w:tcPr>
            <w:tcW w:w="2084" w:type="dxa"/>
            <w:vAlign w:val="center"/>
          </w:tcPr>
          <w:p w14:paraId="685B2632">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汇款账户</w:t>
            </w:r>
          </w:p>
        </w:tc>
        <w:tc>
          <w:tcPr>
            <w:tcW w:w="6546" w:type="dxa"/>
            <w:vAlign w:val="center"/>
          </w:tcPr>
          <w:p w14:paraId="28261754">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户    名：宝鸡市公共资源交易中心保证金专户</w:t>
            </w:r>
          </w:p>
          <w:p w14:paraId="1C756180">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开 户 行：长安银行股份有限公司宝鸡分行营业部</w:t>
            </w:r>
          </w:p>
          <w:p w14:paraId="25EC383D">
            <w:pPr>
              <w:pStyle w:val="10"/>
              <w:spacing w:line="500" w:lineRule="exact"/>
              <w:ind w:firstLine="0"/>
              <w:rPr>
                <w:rFonts w:hint="eastAsia" w:ascii="宋体" w:hAnsi="宋体" w:eastAsia="宋体" w:cs="宋体"/>
                <w:snapToGrid w:val="0"/>
                <w:color w:val="000000" w:themeColor="text1"/>
                <w:sz w:val="24"/>
                <w:szCs w:val="24"/>
                <w:highlight w:val="none"/>
                <w:lang w:eastAsia="zh-CN"/>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 xml:space="preserve">帐  </w:t>
            </w:r>
            <w:r>
              <w:rPr>
                <w:rFonts w:hint="eastAsia" w:ascii="宋体" w:hAnsi="宋体" w:cs="宋体"/>
                <w:snapToGrid w:val="0"/>
                <w:color w:val="auto"/>
                <w:sz w:val="24"/>
                <w:szCs w:val="24"/>
                <w:highlight w:val="none"/>
              </w:rPr>
              <w:t xml:space="preserve">  号：</w:t>
            </w:r>
            <w:r>
              <w:rPr>
                <w:rFonts w:hint="eastAsia" w:ascii="宋体" w:hAnsi="宋体" w:cs="宋体"/>
                <w:snapToGrid w:val="0"/>
                <w:color w:val="auto"/>
                <w:sz w:val="24"/>
                <w:szCs w:val="24"/>
                <w:highlight w:val="none"/>
                <w:lang w:eastAsia="zh-CN"/>
              </w:rPr>
              <w:t>80602000142101980615522</w:t>
            </w:r>
          </w:p>
          <w:p w14:paraId="58E39CE6">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备    注：</w:t>
            </w:r>
            <w:r>
              <w:rPr>
                <w:rFonts w:hint="eastAsia" w:ascii="宋体" w:hAnsi="宋体" w:cs="宋体"/>
                <w:snapToGrid w:val="0"/>
                <w:color w:val="000000" w:themeColor="text1"/>
                <w:sz w:val="24"/>
                <w:szCs w:val="24"/>
                <w:highlight w:val="none"/>
                <w:lang w:val="en-US" w:eastAsia="zh-CN"/>
                <w14:textFill>
                  <w14:solidFill>
                    <w14:schemeClr w14:val="tx1"/>
                  </w14:solidFill>
                </w14:textFill>
              </w:rPr>
              <w:t>该项目子账户后5位数字+</w:t>
            </w:r>
            <w:r>
              <w:rPr>
                <w:rFonts w:hint="eastAsia" w:ascii="宋体" w:hAnsi="宋体" w:cs="宋体"/>
                <w:snapToGrid w:val="0"/>
                <w:color w:val="000000" w:themeColor="text1"/>
                <w:sz w:val="24"/>
                <w:szCs w:val="24"/>
                <w:highlight w:val="none"/>
                <w14:textFill>
                  <w14:solidFill>
                    <w14:schemeClr w14:val="tx1"/>
                  </w14:solidFill>
                </w14:textFill>
              </w:rPr>
              <w:t>****项目投标保证金（</w:t>
            </w:r>
            <w:r>
              <w:rPr>
                <w:rFonts w:hint="eastAsia" w:ascii="宋体" w:hAnsi="宋体" w:cs="宋体"/>
                <w:snapToGrid w:val="0"/>
                <w:color w:val="000000" w:themeColor="text1"/>
                <w:sz w:val="24"/>
                <w:szCs w:val="24"/>
                <w:highlight w:val="none"/>
                <w:lang w:val="en-US" w:eastAsia="zh-CN"/>
                <w14:textFill>
                  <w14:solidFill>
                    <w14:schemeClr w14:val="tx1"/>
                  </w14:solidFill>
                </w14:textFill>
              </w:rPr>
              <w:t>项目名称</w:t>
            </w:r>
            <w:r>
              <w:rPr>
                <w:rFonts w:hint="eastAsia" w:ascii="宋体" w:hAnsi="宋体" w:cs="宋体"/>
                <w:snapToGrid w:val="0"/>
                <w:color w:val="000000" w:themeColor="text1"/>
                <w:sz w:val="24"/>
                <w:szCs w:val="24"/>
                <w:highlight w:val="none"/>
                <w14:textFill>
                  <w14:solidFill>
                    <w14:schemeClr w14:val="tx1"/>
                  </w14:solidFill>
                </w14:textFill>
              </w:rPr>
              <w:t>可简写）</w:t>
            </w:r>
          </w:p>
          <w:p w14:paraId="74A7208A">
            <w:pPr>
              <w:pStyle w:val="57"/>
              <w:spacing w:line="500" w:lineRule="exact"/>
              <w:ind w:firstLine="0" w:firstLineChars="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注:</w:t>
            </w:r>
            <w:r>
              <w:rPr>
                <w:rFonts w:hint="eastAsia" w:ascii="宋体" w:hAnsi="宋体" w:eastAsia="宋体" w:cs="宋体"/>
                <w:bCs/>
                <w:color w:val="000000" w:themeColor="text1"/>
                <w:sz w:val="24"/>
                <w:szCs w:val="24"/>
                <w:highlight w:val="none"/>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参与磋商的供应商</w:t>
            </w:r>
            <w:r>
              <w:rPr>
                <w:rFonts w:hint="eastAsia" w:ascii="宋体" w:hAnsi="宋体" w:eastAsia="宋体" w:cs="宋体"/>
                <w:b/>
                <w:color w:val="000000" w:themeColor="text1"/>
                <w:sz w:val="24"/>
                <w:szCs w:val="24"/>
                <w:highlight w:val="none"/>
                <w14:textFill>
                  <w14:solidFill>
                    <w14:schemeClr w14:val="tx1"/>
                  </w14:solidFill>
                </w14:textFill>
              </w:rPr>
              <w:t>未交纳、或者未足额交纳、或者未按规定时限交纳保证金的，将被视为自动放弃参与投标的权利。</w:t>
            </w:r>
          </w:p>
        </w:tc>
      </w:tr>
      <w:tr w14:paraId="5A2C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1F21F4D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1</w:t>
            </w:r>
          </w:p>
        </w:tc>
        <w:tc>
          <w:tcPr>
            <w:tcW w:w="2084" w:type="dxa"/>
            <w:vAlign w:val="center"/>
          </w:tcPr>
          <w:p w14:paraId="15C05D3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备选投标方案</w:t>
            </w:r>
          </w:p>
          <w:p w14:paraId="7683FAC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和报价</w:t>
            </w:r>
          </w:p>
        </w:tc>
        <w:tc>
          <w:tcPr>
            <w:tcW w:w="6546" w:type="dxa"/>
            <w:vAlign w:val="center"/>
          </w:tcPr>
          <w:p w14:paraId="03CE1967">
            <w:pPr>
              <w:tabs>
                <w:tab w:val="left" w:pos="7013"/>
              </w:tabs>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不接受备选投标方案和多个报价。</w:t>
            </w:r>
          </w:p>
        </w:tc>
      </w:tr>
      <w:tr w14:paraId="677C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709" w:type="dxa"/>
            <w:vAlign w:val="center"/>
          </w:tcPr>
          <w:p w14:paraId="5B26FB02">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2</w:t>
            </w:r>
          </w:p>
        </w:tc>
        <w:tc>
          <w:tcPr>
            <w:tcW w:w="2084" w:type="dxa"/>
            <w:vAlign w:val="center"/>
          </w:tcPr>
          <w:p w14:paraId="449DBFC7">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盖章签字</w:t>
            </w:r>
          </w:p>
        </w:tc>
        <w:tc>
          <w:tcPr>
            <w:tcW w:w="6546" w:type="dxa"/>
            <w:vAlign w:val="center"/>
          </w:tcPr>
          <w:p w14:paraId="2E41BE94">
            <w:pPr>
              <w:tabs>
                <w:tab w:val="left" w:pos="7013"/>
              </w:tabs>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响应文件应在竞争性磋商文件要求在规定签字（或盖章）处由法定代表人或其委托代理人签字（或盖章），并逐页加盖申请人公章。由供应商的法定代表人签字或盖章的，应附法定代表人身份证明，由代理人签字或盖章的，应附法定代表人授权委托书。具体要求详见竞争性磋商响应文件格式要求签字或盖章。</w:t>
            </w:r>
          </w:p>
        </w:tc>
      </w:tr>
      <w:tr w14:paraId="3339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09" w:type="dxa"/>
            <w:vAlign w:val="center"/>
          </w:tcPr>
          <w:p w14:paraId="65BABD79">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3</w:t>
            </w:r>
          </w:p>
        </w:tc>
        <w:tc>
          <w:tcPr>
            <w:tcW w:w="2084" w:type="dxa"/>
            <w:vAlign w:val="center"/>
          </w:tcPr>
          <w:p w14:paraId="0C88A12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评标办法及标准</w:t>
            </w:r>
          </w:p>
        </w:tc>
        <w:tc>
          <w:tcPr>
            <w:tcW w:w="6546" w:type="dxa"/>
            <w:vAlign w:val="center"/>
          </w:tcPr>
          <w:p w14:paraId="0DC4D9EF">
            <w:pPr>
              <w:pStyle w:val="58"/>
              <w:spacing w:line="500" w:lineRule="exac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详见竞争性磋商文件</w:t>
            </w:r>
          </w:p>
        </w:tc>
      </w:tr>
      <w:tr w14:paraId="4406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37573605">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37C0329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其它事项</w:t>
            </w:r>
          </w:p>
        </w:tc>
        <w:tc>
          <w:tcPr>
            <w:tcW w:w="6546" w:type="dxa"/>
            <w:vAlign w:val="center"/>
          </w:tcPr>
          <w:p w14:paraId="01F87741">
            <w:pPr>
              <w:numPr>
                <w:ilvl w:val="0"/>
                <w:numId w:val="3"/>
              </w:num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成交供应商与采购人在成交通知书发出25日内签订合同，不及时签订视为自动放弃。非经采购人同意，本项目不允许成交后另行转包或者分包。成交</w:t>
            </w:r>
            <w:r>
              <w:rPr>
                <w:rFonts w:hint="eastAsia" w:ascii="宋体" w:hAnsi="宋体" w:eastAsia="宋体" w:cs="宋体"/>
                <w:color w:val="000000" w:themeColor="text1"/>
                <w:kern w:val="0"/>
                <w:szCs w:val="24"/>
                <w:highlight w:val="none"/>
                <w14:textFill>
                  <w14:solidFill>
                    <w14:schemeClr w14:val="tx1"/>
                  </w14:solidFill>
                </w14:textFill>
              </w:rPr>
              <w:t>人无正当理由不得放弃</w:t>
            </w:r>
            <w:r>
              <w:rPr>
                <w:rFonts w:hint="eastAsia" w:ascii="宋体" w:hAnsi="宋体" w:eastAsia="宋体" w:cs="宋体"/>
                <w:color w:val="000000" w:themeColor="text1"/>
                <w:szCs w:val="24"/>
                <w:highlight w:val="none"/>
                <w14:textFill>
                  <w14:solidFill>
                    <w14:schemeClr w14:val="tx1"/>
                  </w14:solidFill>
                </w14:textFill>
              </w:rPr>
              <w:t>成交</w:t>
            </w:r>
            <w:r>
              <w:rPr>
                <w:rFonts w:hint="eastAsia" w:ascii="宋体" w:hAnsi="宋体" w:eastAsia="宋体" w:cs="宋体"/>
                <w:color w:val="000000" w:themeColor="text1"/>
                <w:kern w:val="0"/>
                <w:szCs w:val="24"/>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因自身原因拒绝签订政府采购合同的或者未按合同约定进行履约的，成交人不得参加对该项目重新开展的采购活动。</w:t>
            </w:r>
          </w:p>
          <w:p w14:paraId="4A966AD8">
            <w:pPr>
              <w:numPr>
                <w:ilvl w:val="0"/>
                <w:numId w:val="3"/>
              </w:num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本项目居家养老上门服务每户不超过 3000</w:t>
            </w:r>
            <w:r>
              <w:rPr>
                <w:rFonts w:hint="eastAsia" w:ascii="宋体" w:hAnsi="宋体" w:eastAsia="宋体" w:cs="宋体"/>
                <w:color w:val="000000" w:themeColor="text1"/>
                <w:szCs w:val="24"/>
                <w:highlight w:val="none"/>
                <w:lang w:val="en-US" w:eastAsia="zh-CN"/>
                <w14:textFill>
                  <w14:solidFill>
                    <w14:schemeClr w14:val="tx1"/>
                  </w14:solidFill>
                </w14:textFill>
              </w:rPr>
              <w:t>.00</w:t>
            </w:r>
            <w:r>
              <w:rPr>
                <w:rFonts w:hint="eastAsia" w:ascii="宋体" w:hAnsi="宋体" w:eastAsia="宋体" w:cs="宋体"/>
                <w:color w:val="000000" w:themeColor="text1"/>
                <w:szCs w:val="24"/>
                <w:highlight w:val="none"/>
                <w14:textFill>
                  <w14:solidFill>
                    <w14:schemeClr w14:val="tx1"/>
                  </w14:solidFill>
                </w14:textFill>
              </w:rPr>
              <w:t>元</w:t>
            </w:r>
          </w:p>
        </w:tc>
      </w:tr>
      <w:tr w14:paraId="2B38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09" w:type="dxa"/>
            <w:vAlign w:val="center"/>
          </w:tcPr>
          <w:p w14:paraId="703255FC">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5E57B20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招标代理服务费</w:t>
            </w:r>
          </w:p>
        </w:tc>
        <w:tc>
          <w:tcPr>
            <w:tcW w:w="6546" w:type="dxa"/>
            <w:vAlign w:val="center"/>
          </w:tcPr>
          <w:p w14:paraId="51D5D177">
            <w:pPr>
              <w:pStyle w:val="13"/>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1、招标代理服务</w:t>
            </w:r>
            <w:r>
              <w:rPr>
                <w:rFonts w:hint="eastAsia" w:ascii="宋体" w:hAnsi="宋体" w:eastAsia="宋体" w:cs="宋体"/>
                <w:color w:val="auto"/>
                <w:szCs w:val="24"/>
                <w:highlight w:val="none"/>
              </w:rPr>
              <w:t>费由</w:t>
            </w:r>
            <w:r>
              <w:rPr>
                <w:rFonts w:hint="eastAsia" w:ascii="宋体" w:hAnsi="宋体" w:eastAsia="宋体" w:cs="宋体"/>
                <w:color w:val="auto"/>
                <w:szCs w:val="24"/>
                <w:highlight w:val="none"/>
                <w:lang w:val="en-US" w:eastAsia="zh-CN"/>
              </w:rPr>
              <w:t>成交供应商</w:t>
            </w:r>
            <w:r>
              <w:rPr>
                <w:rFonts w:hint="eastAsia" w:ascii="宋体" w:hAnsi="宋体" w:eastAsia="宋体" w:cs="宋体"/>
                <w:color w:val="auto"/>
                <w:szCs w:val="24"/>
                <w:highlight w:val="none"/>
              </w:rPr>
              <w:t>向采购代</w:t>
            </w:r>
            <w:r>
              <w:rPr>
                <w:rFonts w:hint="eastAsia" w:ascii="宋体" w:hAnsi="宋体" w:eastAsia="宋体" w:cs="宋体"/>
                <w:color w:val="000000" w:themeColor="text1"/>
                <w:szCs w:val="24"/>
                <w:highlight w:val="none"/>
                <w14:textFill>
                  <w14:solidFill>
                    <w14:schemeClr w14:val="tx1"/>
                  </w14:solidFill>
                </w14:textFill>
              </w:rPr>
              <w:t>理机构支付。</w:t>
            </w:r>
          </w:p>
          <w:p w14:paraId="59A067A1">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招标代理服务费依据《国家计委关于印发招标代理服务收费管理暂行办法的通知》（计价格【2002】1980号）和国家发改委办公厅颁发的《关于招标代理服务收费有关问题的通知》（发改办价格【2003】857号）文件规定</w:t>
            </w:r>
            <w:r>
              <w:rPr>
                <w:rFonts w:hint="eastAsia" w:ascii="宋体" w:hAnsi="宋体" w:eastAsia="宋体" w:cs="宋体"/>
                <w:color w:val="000000" w:themeColor="text1"/>
                <w:szCs w:val="24"/>
                <w:highlight w:val="none"/>
                <w:lang w:val="en-US" w:eastAsia="zh-CN"/>
                <w14:textFill>
                  <w14:solidFill>
                    <w14:schemeClr w14:val="tx1"/>
                  </w14:solidFill>
                </w14:textFill>
              </w:rPr>
              <w:t>下浮5%收取</w:t>
            </w:r>
            <w:r>
              <w:rPr>
                <w:rFonts w:hint="eastAsia" w:ascii="宋体" w:hAnsi="宋体" w:eastAsia="宋体" w:cs="宋体"/>
                <w:color w:val="000000" w:themeColor="text1"/>
                <w:szCs w:val="24"/>
                <w:highlight w:val="none"/>
                <w14:textFill>
                  <w14:solidFill>
                    <w14:schemeClr w14:val="tx1"/>
                  </w14:solidFill>
                </w14:textFill>
              </w:rPr>
              <w:t>。</w:t>
            </w:r>
          </w:p>
          <w:p w14:paraId="3092B9D3">
            <w:pPr>
              <w:pStyle w:val="13"/>
              <w:spacing w:line="500" w:lineRule="exact"/>
              <w:rPr>
                <w:rFonts w:hint="eastAsia" w:ascii="宋体" w:hAnsi="宋体" w:eastAsia="宋体" w:cs="宋体"/>
                <w:color w:val="000000" w:themeColor="text1"/>
                <w:szCs w:val="24"/>
                <w:highlight w:val="red"/>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3、此费用各供应商应充分考虑在磋商报价内，采购人不在为此支付任何费用，且必须保证本次项目的服务质量</w:t>
            </w:r>
          </w:p>
        </w:tc>
      </w:tr>
      <w:tr w14:paraId="75DD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709" w:type="dxa"/>
            <w:vAlign w:val="center"/>
          </w:tcPr>
          <w:p w14:paraId="674A13C0">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bookmarkStart w:id="15" w:name="_Toc4919"/>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22856A65">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auto"/>
                <w:szCs w:val="24"/>
                <w:highlight w:val="none"/>
                <w:lang w:val="en-US" w:eastAsia="zh-CN"/>
              </w:rPr>
              <w:t>所属行业</w:t>
            </w:r>
          </w:p>
        </w:tc>
        <w:tc>
          <w:tcPr>
            <w:tcW w:w="6546" w:type="dxa"/>
            <w:vAlign w:val="center"/>
          </w:tcPr>
          <w:p w14:paraId="75BB4DB7">
            <w:pPr>
              <w:spacing w:line="500" w:lineRule="exact"/>
              <w:jc w:val="lef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其他未列明行业</w:t>
            </w:r>
          </w:p>
        </w:tc>
      </w:tr>
    </w:tbl>
    <w:p w14:paraId="29201232">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二、项目说明</w:t>
      </w:r>
      <w:bookmarkEnd w:id="15"/>
    </w:p>
    <w:p w14:paraId="0B802865">
      <w:pPr>
        <w:spacing w:line="560" w:lineRule="exact"/>
        <w:ind w:firstLine="57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1、本项目说明详见供应商须知前附表。</w:t>
      </w:r>
      <w:bookmarkStart w:id="16" w:name="_Toc458617732"/>
      <w:bookmarkStart w:id="17" w:name="_Toc458617455"/>
    </w:p>
    <w:p w14:paraId="56399B2E">
      <w:pPr>
        <w:spacing w:line="560" w:lineRule="exact"/>
        <w:ind w:firstLine="57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2、本项目按照《中华人民共和国政府采购法》等有关法律、行政法规和部门规章，通过竞争性磋商方式择优选定中标人。</w:t>
      </w:r>
    </w:p>
    <w:bookmarkEnd w:id="16"/>
    <w:bookmarkEnd w:id="17"/>
    <w:p w14:paraId="7A38EFB6">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18" w:name="_Toc458617456"/>
      <w:bookmarkStart w:id="19" w:name="_Toc458617733"/>
      <w:bookmarkStart w:id="20" w:name="_Toc15666"/>
      <w:r>
        <w:rPr>
          <w:rFonts w:hint="eastAsia" w:ascii="宋体" w:hAnsi="宋体" w:eastAsia="宋体" w:cs="宋体"/>
          <w:color w:val="000000" w:themeColor="text1"/>
          <w:kern w:val="0"/>
          <w:sz w:val="28"/>
          <w:szCs w:val="28"/>
          <w:highlight w:val="none"/>
          <w14:textFill>
            <w14:solidFill>
              <w14:schemeClr w14:val="tx1"/>
            </w14:solidFill>
          </w14:textFill>
        </w:rPr>
        <w:t>三、</w:t>
      </w:r>
      <w:bookmarkEnd w:id="18"/>
      <w:bookmarkEnd w:id="19"/>
      <w:bookmarkEnd w:id="20"/>
      <w:r>
        <w:rPr>
          <w:rFonts w:hint="eastAsia" w:ascii="宋体" w:hAnsi="宋体" w:eastAsia="宋体" w:cs="宋体"/>
          <w:color w:val="000000" w:themeColor="text1"/>
          <w:kern w:val="0"/>
          <w:sz w:val="28"/>
          <w:szCs w:val="28"/>
          <w:highlight w:val="none"/>
          <w14:textFill>
            <w14:solidFill>
              <w14:schemeClr w14:val="tx1"/>
            </w14:solidFill>
          </w14:textFill>
        </w:rPr>
        <w:t xml:space="preserve"> 竞争性磋商文件</w:t>
      </w:r>
    </w:p>
    <w:p w14:paraId="4F30DE4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1、竞争性磋商文件获取：供应商须经过正常渠道获取竞争性磋商文件，否则将作为无效投标处理。</w:t>
      </w:r>
    </w:p>
    <w:p w14:paraId="32B361B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2、竞争性磋商文件的组成：包括目录所有内容。</w:t>
      </w:r>
    </w:p>
    <w:p w14:paraId="20E713C0">
      <w:pPr>
        <w:spacing w:line="560" w:lineRule="exact"/>
        <w:ind w:firstLine="480" w:firstLineChars="200"/>
        <w:rPr>
          <w:rFonts w:ascii="宋体" w:hAnsi="宋体" w:eastAsia="宋体" w:cs="宋体"/>
          <w:szCs w:val="24"/>
          <w:highlight w:val="none"/>
        </w:rPr>
      </w:pPr>
      <w:r>
        <w:rPr>
          <w:rFonts w:hint="eastAsia" w:ascii="宋体" w:hAnsi="宋体" w:eastAsia="宋体" w:cs="宋体"/>
          <w:color w:val="000000" w:themeColor="text1"/>
          <w:szCs w:val="24"/>
          <w:highlight w:val="none"/>
          <w14:textFill>
            <w14:solidFill>
              <w14:schemeClr w14:val="tx1"/>
            </w14:solidFill>
          </w14:textFill>
        </w:rPr>
        <w:t>2-1、电子竞争性磋商文件获取方式：1）报名登记：供应商使用捆绑CA证书登录全国公共资源交易平台（陕西省·宝鸡市）（</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/），选择电子交易平台中的陕西政府采购交易系统进行登录，登录后选择“交易乙方”身份进入供应商界面进行报名</w:t>
      </w:r>
      <w:r>
        <w:rPr>
          <w:rFonts w:hint="eastAsia" w:ascii="宋体" w:hAnsi="宋体" w:eastAsia="宋体" w:cs="宋体"/>
          <w:szCs w:val="24"/>
          <w:highlight w:val="none"/>
        </w:rPr>
        <w:t>。2）竞争性磋商文件下载：报名在网上报名成功后，供应商在获取时间段内</w:t>
      </w:r>
      <w:r>
        <w:rPr>
          <w:rFonts w:hint="eastAsia" w:ascii="宋体" w:hAnsi="宋体" w:eastAsia="宋体" w:cs="宋体"/>
          <w:szCs w:val="24"/>
          <w:highlight w:val="none"/>
          <w:lang w:eastAsia="zh-CN"/>
        </w:rPr>
        <w:t>2025年10月20日至2025年10月24日</w:t>
      </w:r>
      <w:r>
        <w:rPr>
          <w:rFonts w:hint="eastAsia" w:ascii="宋体" w:hAnsi="宋体" w:eastAsia="宋体" w:cs="宋体"/>
          <w:szCs w:val="24"/>
          <w:highlight w:val="none"/>
        </w:rPr>
        <w:t>，每日上午09:00:00-12:00:00，下午14:00:00-17:00:00可登录全国公共资源交易平台-陕西省公共资源交易平台（陕西省·宝鸡市）下载电子竞争性磋商文件，逾期未办理的，视为自动放弃。</w:t>
      </w:r>
    </w:p>
    <w:p w14:paraId="235BDA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2-2、电子竞争性磋商文件需要使用专用软件打开、浏览。</w:t>
      </w:r>
    </w:p>
    <w:p w14:paraId="6298282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3、供应商应认真审阅和充分理解竞争性磋商文件所有的事项、格式、条款和规范要求等，在响应文件中对竞争性磋商文件的各方面都做出实质性的响应，按照竞争性磋商文件的要求提交全部资料。</w:t>
      </w:r>
    </w:p>
    <w:p w14:paraId="34573D6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4、竞争性磋商文件的澄清或修改：</w:t>
      </w:r>
    </w:p>
    <w:p w14:paraId="29695D0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21" w:name="_Toc458617457"/>
      <w:bookmarkStart w:id="22" w:name="_Toc458617734"/>
      <w:r>
        <w:rPr>
          <w:rFonts w:hint="eastAsia" w:ascii="宋体" w:hAnsi="宋体" w:eastAsia="宋体" w:cs="宋体"/>
          <w:color w:val="000000" w:themeColor="text1"/>
          <w:szCs w:val="24"/>
          <w:highlight w:val="none"/>
          <w14:textFill>
            <w14:solidFill>
              <w14:schemeClr w14:val="tx1"/>
            </w14:solidFill>
          </w14:textFill>
        </w:rPr>
        <w:t>4-1、提交首次响应文件截止之日前，采购代理机构对已发出的竞争性磋商文件进行必要的澄清或者修改，澄清或者修改的内容作为竞争性磋商文件的组成部分。澄清或者修改的内容可能影响响应文件编制的，采购代理机构应当在提交首次响应文件截止时间至少5日前，以书面形式通知所有获取竞争性磋商文件的供应商；不足5日的，应当顺延提交首次响应文件截止时间。</w:t>
      </w:r>
    </w:p>
    <w:p w14:paraId="4CA6F75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竞争性磋商文件的澄清或修改内容均以书面形式明确的内容为准。当竞争性磋商文件的澄清、修改、补充等在同一内容的表述上不一致时，以最后发出的书面文件为准。所有补充文件将作为竞争性磋商文件的组成部分，对所有供应商具有约束力。</w:t>
      </w:r>
    </w:p>
    <w:p w14:paraId="768F38B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5、供应商若对竞争性磋商文件有任何疑问，可以以书面形式向采购代理机构提出询问。</w:t>
      </w:r>
    </w:p>
    <w:p w14:paraId="3835072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6、供应商认为竞争性磋商文件使自己的权益受到损害的，在收到竞争性磋商文件之日</w:t>
      </w:r>
      <w:r>
        <w:rPr>
          <w:rFonts w:hint="eastAsia" w:ascii="宋体" w:hAnsi="宋体" w:eastAsia="宋体" w:cs="宋体"/>
          <w:color w:val="000000" w:themeColor="text1"/>
          <w:kern w:val="0"/>
          <w:szCs w:val="24"/>
          <w:highlight w:val="none"/>
          <w14:textFill>
            <w14:solidFill>
              <w14:schemeClr w14:val="tx1"/>
            </w14:solidFill>
          </w14:textFill>
        </w:rPr>
        <w:t>起七个工作日内</w:t>
      </w:r>
      <w:r>
        <w:rPr>
          <w:rFonts w:hint="eastAsia" w:ascii="宋体" w:hAnsi="宋体" w:eastAsia="宋体" w:cs="宋体"/>
          <w:color w:val="000000" w:themeColor="text1"/>
          <w:szCs w:val="24"/>
          <w:highlight w:val="none"/>
          <w14:textFill>
            <w14:solidFill>
              <w14:schemeClr w14:val="tx1"/>
            </w14:solidFill>
          </w14:textFill>
        </w:rPr>
        <w:t>以书面形式向采购代理机构提出质疑，逾期提出的无效，</w:t>
      </w:r>
      <w:bookmarkStart w:id="23" w:name="OLE_LINK6"/>
      <w:r>
        <w:rPr>
          <w:rFonts w:hint="eastAsia" w:ascii="宋体" w:hAnsi="宋体" w:eastAsia="宋体" w:cs="宋体"/>
          <w:color w:val="000000" w:themeColor="text1"/>
          <w:szCs w:val="24"/>
          <w:highlight w:val="none"/>
          <w14:textFill>
            <w14:solidFill>
              <w14:schemeClr w14:val="tx1"/>
            </w14:solidFill>
          </w14:textFill>
        </w:rPr>
        <w:t>因此带来的一切不利后果由供应商自负。</w:t>
      </w:r>
      <w:bookmarkEnd w:id="23"/>
    </w:p>
    <w:p w14:paraId="5F7C540D">
      <w:pPr>
        <w:kinsoku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7、在投标截止时间前，根据采购工作进展实际情况，采购人可酌情延长提交响应文件的截止时间，若延长将另行以书面形式通知各供应商并在原信息发布媒体上发布变更公告。</w:t>
      </w:r>
      <w:bookmarkStart w:id="24" w:name="OLE_LINK7"/>
      <w:r>
        <w:rPr>
          <w:rFonts w:hint="eastAsia" w:ascii="宋体" w:hAnsi="宋体" w:eastAsia="宋体" w:cs="宋体"/>
          <w:color w:val="000000" w:themeColor="text1"/>
          <w:szCs w:val="24"/>
          <w:highlight w:val="none"/>
          <w14:textFill>
            <w14:solidFill>
              <w14:schemeClr w14:val="tx1"/>
            </w14:solidFill>
          </w14:textFill>
        </w:rPr>
        <w:t>采购代理机构和供应商的权利和义务将受到新的截止期的约束。</w:t>
      </w:r>
    </w:p>
    <w:bookmarkEnd w:id="24"/>
    <w:p w14:paraId="26ACC9B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8、供应商必须从【全国公共资源交易平台（陕西省·宝鸡市）】（</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）处获取竞争性磋商文件，供应商自行转让或复制竞争性磋商文件视为无效。竞争性磋商文件售后不退，仅作为本次招标使用。</w:t>
      </w:r>
    </w:p>
    <w:p w14:paraId="3AAF1A6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9、竞争性磋商文件的解释权归采购代理机构，如发现竞争性磋商文件内容与现行法律法规不相符的情况，以现行法律法规为准。</w:t>
      </w:r>
    </w:p>
    <w:p w14:paraId="35CA2E2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10、现场勘查：见须知前附表。</w:t>
      </w:r>
    </w:p>
    <w:p w14:paraId="2DB1123B">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25" w:name="_Toc25197"/>
      <w:r>
        <w:rPr>
          <w:rFonts w:hint="eastAsia" w:ascii="宋体" w:hAnsi="宋体" w:eastAsia="宋体" w:cs="宋体"/>
          <w:color w:val="000000" w:themeColor="text1"/>
          <w:kern w:val="0"/>
          <w:sz w:val="28"/>
          <w:szCs w:val="28"/>
          <w:highlight w:val="none"/>
          <w14:textFill>
            <w14:solidFill>
              <w14:schemeClr w14:val="tx1"/>
            </w14:solidFill>
          </w14:textFill>
        </w:rPr>
        <w:t>四、</w:t>
      </w:r>
      <w:bookmarkEnd w:id="21"/>
      <w:bookmarkEnd w:id="22"/>
      <w:bookmarkEnd w:id="25"/>
      <w:r>
        <w:rPr>
          <w:rFonts w:hint="eastAsia" w:ascii="宋体" w:hAnsi="宋体" w:eastAsia="宋体" w:cs="宋体"/>
          <w:color w:val="000000" w:themeColor="text1"/>
          <w:kern w:val="0"/>
          <w:sz w:val="28"/>
          <w:szCs w:val="28"/>
          <w:highlight w:val="none"/>
          <w14:textFill>
            <w14:solidFill>
              <w14:schemeClr w14:val="tx1"/>
            </w14:solidFill>
          </w14:textFill>
        </w:rPr>
        <w:t>响应文件</w:t>
      </w:r>
    </w:p>
    <w:p w14:paraId="22E890C5">
      <w:pPr>
        <w:pStyle w:val="32"/>
        <w:widowControl/>
        <w:wordWrap w:val="0"/>
        <w:spacing w:line="560" w:lineRule="exact"/>
        <w:ind w:firstLine="480" w:firstLineChars="200"/>
        <w:jc w:val="both"/>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1、供应商资格条件：</w:t>
      </w:r>
    </w:p>
    <w:p w14:paraId="1F59A97B">
      <w:pPr>
        <w:pStyle w:val="32"/>
        <w:widowControl/>
        <w:numPr>
          <w:ilvl w:val="0"/>
          <w:numId w:val="2"/>
        </w:numPr>
        <w:wordWrap w:val="0"/>
        <w:spacing w:line="560" w:lineRule="exact"/>
        <w:ind w:firstLine="480" w:firstLineChars="200"/>
        <w:jc w:val="both"/>
        <w:rPr>
          <w:rFonts w:hint="eastAsia"/>
        </w:rPr>
      </w:pP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3EBB7160">
      <w:pPr>
        <w:pStyle w:val="32"/>
        <w:widowControl/>
        <w:numPr>
          <w:ilvl w:val="0"/>
          <w:numId w:val="0"/>
        </w:numPr>
        <w:wordWrap w:val="0"/>
        <w:spacing w:line="560" w:lineRule="exact"/>
        <w:ind w:firstLine="480" w:firstLineChars="200"/>
        <w:jc w:val="both"/>
        <w:rPr>
          <w:rFonts w:hint="eastAsia" w:eastAsiaTheme="majorEastAsia"/>
          <w:lang w:eastAsia="zh-CN"/>
        </w:rPr>
      </w:pPr>
      <w:r>
        <w:rPr>
          <w:rFonts w:hint="eastAsia" w:asciiTheme="majorEastAsia" w:hAnsiTheme="majorEastAsia" w:eastAsiaTheme="majorEastAsia" w:cstheme="majorEastAsia"/>
          <w:sz w:val="24"/>
          <w:szCs w:val="24"/>
          <w:highlight w:val="none"/>
          <w:shd w:val="clear" w:color="auto" w:fill="FFFFFF"/>
        </w:rPr>
        <w:t>2）财务状况报告：</w:t>
      </w:r>
      <w:r>
        <w:rPr>
          <w:rFonts w:hint="eastAsia" w:asciiTheme="majorEastAsia" w:hAnsiTheme="majorEastAsia" w:eastAsiaTheme="majorEastAsia" w:cstheme="majorEastAsia"/>
          <w:sz w:val="24"/>
          <w:szCs w:val="24"/>
          <w:highlight w:val="none"/>
          <w:shd w:val="clear" w:color="auto" w:fill="FFFFFF"/>
          <w:lang w:eastAsia="zh-CN"/>
        </w:rPr>
        <w:t>供应商须提供2024年度的财务审计报告（至少包括资产负债表和利润表，成立时间至提交响应文件截止时间不足一年的可提供成立后任意时段的资产负债表）或开标前六个月内其基本账户开户银行出具的资信证明。其他组织和自然人提供开标前六个月内银行出具的资信证明；</w:t>
      </w:r>
    </w:p>
    <w:p w14:paraId="145483A6">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已缴存的至少六个月的社会保障资金缴存单据或社保机构开具的社会保险参保缴费情况证明，依法不需要缴纳社会保障资金的单位应提供相关证明材料；</w:t>
      </w:r>
    </w:p>
    <w:p w14:paraId="5DCC3560">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已缴存的至少六个月的纳税证明或完税证明，依法免税的单位应提供相关证明材料</w:t>
      </w:r>
      <w:r>
        <w:rPr>
          <w:rFonts w:hint="eastAsia" w:asciiTheme="majorEastAsia" w:hAnsiTheme="majorEastAsia" w:eastAsiaTheme="majorEastAsia" w:cstheme="majorEastAsia"/>
          <w:sz w:val="24"/>
          <w:szCs w:val="24"/>
          <w:highlight w:val="none"/>
          <w:shd w:val="clear" w:color="auto" w:fill="FFFFFF"/>
          <w:lang w:val="en-US" w:eastAsia="zh-CN"/>
        </w:rPr>
        <w:t>；</w:t>
      </w:r>
    </w:p>
    <w:p w14:paraId="15B363EF">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供应商未被列入“信用中国”网站(www.creditchina.gov.cn)“失信被执行人和重大税收违法失信主体；未被列入“中国政府采购网”(www.ccgp.gov.cn)“政府采购严重违法失信行为信息记录”</w:t>
      </w:r>
      <w:r>
        <w:rPr>
          <w:rFonts w:hint="eastAsia" w:asciiTheme="majorEastAsia" w:hAnsiTheme="majorEastAsia" w:eastAsiaTheme="majorEastAsia" w:cstheme="majorEastAsia"/>
          <w:sz w:val="24"/>
          <w:szCs w:val="24"/>
          <w:highlight w:val="none"/>
          <w:shd w:val="clear" w:color="auto" w:fill="FFFFFF"/>
        </w:rPr>
        <w:t>；</w:t>
      </w:r>
    </w:p>
    <w:p w14:paraId="057CFB2D">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7BE442EC">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6287C408">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法定代表人参加投标的，须出具本人身份证，并与营业执照上信息一致，授权代表参加投标的须出具法定代表人身份证明、授权代表身份证复印件及授权代表身份证原件。竞争性磋商文件中凡是需要法定代表人盖章（签字）之处，非法人单位的负责人均参照执行；</w:t>
      </w:r>
    </w:p>
    <w:p w14:paraId="42686321">
      <w:pPr>
        <w:pStyle w:val="32"/>
        <w:widowControl/>
        <w:wordWrap w:val="0"/>
        <w:spacing w:line="560" w:lineRule="exact"/>
        <w:ind w:firstLine="480" w:firstLineChars="200"/>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781EA543">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p w14:paraId="1A74C97A">
      <w:pPr>
        <w:spacing w:line="560" w:lineRule="exact"/>
        <w:ind w:left="470" w:left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2、合格供应商</w:t>
      </w:r>
    </w:p>
    <w:p w14:paraId="00F7A4E9">
      <w:pPr>
        <w:spacing w:line="560" w:lineRule="exact"/>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符合《中华人民共和国政府采购法》</w:t>
      </w:r>
      <w:bookmarkStart w:id="26" w:name="OLE_LINK8"/>
      <w:r>
        <w:rPr>
          <w:rFonts w:hint="eastAsia" w:ascii="宋体" w:hAnsi="宋体" w:eastAsia="宋体" w:cs="宋体"/>
          <w:color w:val="000000" w:themeColor="text1"/>
          <w:szCs w:val="24"/>
          <w:highlight w:val="none"/>
          <w14:textFill>
            <w14:solidFill>
              <w14:schemeClr w14:val="tx1"/>
            </w14:solidFill>
          </w14:textFill>
        </w:rPr>
        <w:t>及其实施条例等有关法律法规的规定</w:t>
      </w:r>
      <w:bookmarkEnd w:id="26"/>
      <w:r>
        <w:rPr>
          <w:rFonts w:hint="eastAsia" w:ascii="宋体" w:hAnsi="宋体" w:eastAsia="宋体" w:cs="宋体"/>
          <w:color w:val="000000" w:themeColor="text1"/>
          <w:szCs w:val="24"/>
          <w:highlight w:val="none"/>
          <w14:textFill>
            <w14:solidFill>
              <w14:schemeClr w14:val="tx1"/>
            </w14:solidFill>
          </w14:textFill>
        </w:rPr>
        <w:t>并满足本项目资格条件。不符合上述规定的供应商，投标无效。</w:t>
      </w:r>
    </w:p>
    <w:p w14:paraId="40C5F829">
      <w:pPr>
        <w:spacing w:line="560" w:lineRule="exact"/>
        <w:ind w:firstLine="470" w:firstLineChars="196"/>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3、响应文件的组成 </w:t>
      </w:r>
    </w:p>
    <w:p w14:paraId="51D4529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（1）封面</w:t>
      </w:r>
    </w:p>
    <w:p w14:paraId="786FDA5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（2）资格证明文件</w:t>
      </w:r>
    </w:p>
    <w:p w14:paraId="01D5B6C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（3）符合性证明文件</w:t>
      </w:r>
    </w:p>
    <w:p w14:paraId="4EAE393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（4）响应方案</w:t>
      </w:r>
    </w:p>
    <w:p w14:paraId="4D2AD9F1">
      <w:pPr>
        <w:spacing w:line="560" w:lineRule="exact"/>
        <w:ind w:firstLine="950" w:firstLineChars="396"/>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附件一：《中小企业声明函》</w:t>
      </w:r>
    </w:p>
    <w:p w14:paraId="6780E774">
      <w:pPr>
        <w:spacing w:line="560" w:lineRule="exact"/>
        <w:ind w:firstLine="950" w:firstLineChars="396"/>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附件二：《残疾人福利性单位声明函》</w:t>
      </w:r>
    </w:p>
    <w:p w14:paraId="5580A83A">
      <w:pPr>
        <w:spacing w:line="560" w:lineRule="exact"/>
        <w:ind w:firstLine="950" w:firstLineChars="396"/>
        <w:rPr>
          <w:rFonts w:hint="eastAsia"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附件三：《监狱企业证明材料》</w:t>
      </w:r>
    </w:p>
    <w:p w14:paraId="4056FE09">
      <w:pPr>
        <w:spacing w:line="560" w:lineRule="exact"/>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响应文件编写说明</w:t>
      </w:r>
    </w:p>
    <w:p w14:paraId="6D7919E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4-1、电子响应文件</w:t>
      </w:r>
    </w:p>
    <w:p w14:paraId="4EADDD7B">
      <w:pPr>
        <w:spacing w:line="560" w:lineRule="exact"/>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编制电子响应文件时应用专用软件，软件下载地址及操作手册详见全国公共资源交易平台（陕西省·宝鸡市）网站〖首页·〉服务指南·〉下载专区〗中的《政府采购项目响应文件制作软件及操作手册》。并使用 CA（数字认证证书）对电子响应文件进行签署、加密、递交及开标时解密等相关操作。</w:t>
      </w:r>
    </w:p>
    <w:p w14:paraId="4DA4D6EF">
      <w:pPr>
        <w:spacing w:line="560" w:lineRule="exact"/>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（2）电子响应文件中需要法定代表人签字或盖章的地方，请使用“法人CA”进行签章；需要加盖供应商公章的地方，请使用“企业 CA”进行盖章。加密和解密应当使用同一CA，否则将会导致解密失败。</w:t>
      </w:r>
    </w:p>
    <w:p w14:paraId="2988D306">
      <w:pPr>
        <w:spacing w:line="560" w:lineRule="exact"/>
        <w:ind w:firstLine="482" w:firstLineChars="2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注：竞争性磋商响应文件应在竞争性磋商文件要求在规定签字（或盖章）处由法定代表人或其委托代理人签字（或盖章），并逐页加盖申请人公章。由供应商的法定代表人签字或盖章的，应附法定代表人身份证明，由代理人签字或盖章的，应附法定代表人授权委托书。</w:t>
      </w:r>
    </w:p>
    <w:p w14:paraId="3D1B0718">
      <w:pPr>
        <w:spacing w:line="560" w:lineRule="exact"/>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（3）电子响应文件同样需要使用上述专用软件进行编制。若电子响应文件签章后，导出的 PDF 文件里看不到签章，请尝试使用查看响应文件工具打开未加密的电子响应文件重新导出。在编制过程中，如有其他技术性问题，请翻阅操作手册，或致电宝鸡市公共资源交易中心，信息科人员：0917-3263756 。</w:t>
      </w:r>
    </w:p>
    <w:p w14:paraId="587ABE0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4-2、纸质响应文件</w:t>
      </w:r>
    </w:p>
    <w:p w14:paraId="34DD2B6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开标时投标供应商无需提交纸质响应文件，项目成交后由成交人在领取成交通知书时向采购代理机构提交响应文件正本一份，副本二份，电子文件（U 盘或移动硬盘，谢绝光盘，磋商响应文件所有内容）一份。提交的纸质响应文件须与网上上传的电子响应文件内容一致，若不一致导致的一切后果由供应商自负。正本和副本的封面上应清楚的标记“正本”或“副本”的字样。响应文件的正本与副本均应采用A4纸印刷，分别各自胶装成册，并编制目录和页码，不得采用活页装订。</w:t>
      </w:r>
    </w:p>
    <w:p w14:paraId="5BCD8D3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4-3、响应文件的语言及计量单位</w:t>
      </w:r>
    </w:p>
    <w:p w14:paraId="22B0CBD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1、招标活动的所有文件、资料、函电文字均使用简体中文，确需提交用其他语言形成的资料，必须翻译成简体中文。对不同文字文本响应文件的解释发生异议时，以简体中文文本为准。</w:t>
      </w:r>
    </w:p>
    <w:p w14:paraId="66C6CCE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2、响应文件的计量单位应使用中华人民共和国法定计量单位，但竞争性磋商文件另有规定的除外。</w:t>
      </w:r>
    </w:p>
    <w:p w14:paraId="553A7DA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4-4、响应文件的有效期</w:t>
      </w:r>
    </w:p>
    <w:p w14:paraId="016357E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1.投标有效期（含授权有效期）自提交响应文件截止之日起90日历天。供应商投标有效期短于竞争性磋商文件规定的投标有效期，按无效投标处理。成交供应商的投标有效期自动延长至合同执行完毕。</w:t>
      </w:r>
    </w:p>
    <w:p w14:paraId="15CC5E5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2.在投标有效期内，供应商不得要求撤销或修改其响应文件。</w:t>
      </w:r>
    </w:p>
    <w:p w14:paraId="4070507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特殊情况下，在原投标有效期期满之前，采购人可要求供应商延长投标有效期。供应商拒绝延长的，其投标失效，但供应商有权收回其磋商保证金。供应商同意延长的，应相应延长其磋商保证金的有效期，但不得修改响应文件的实质性内容。</w:t>
      </w:r>
    </w:p>
    <w:p w14:paraId="63A12D7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4-5、响应文件的提交</w:t>
      </w:r>
    </w:p>
    <w:p w14:paraId="6DA6AA5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子响应文件可于提交响应文件递交截止时间前任意时段登录全国公共资源交易平台（陕西省·宝鸡市）网站“电子交易平台&gt;企业端”进行提交，逾期系统将拒绝接收。提交时，供应商应登录全国公共资源交易中心平台（陕西省·宝鸡市），选择“首页&gt;电子交易平台&gt;企业端&gt;我的项目”，点击“项目流程”，在打开的“项目管理”对话框中选择“上传响应文件”，上传加密的电子响应文件。上传成功后，电子化平台将予以记录。</w:t>
      </w:r>
    </w:p>
    <w:p w14:paraId="3DA71CA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4-6、响应文件的撤回、补充和修改</w:t>
      </w:r>
    </w:p>
    <w:p w14:paraId="24823B1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供应商在递交响应文件后，且在提交响应文件截止时间前，可以对所提交的响应文件进行撤回、补充或修改。对电子响应文件进行补充、修改的，应先从电子交易平台上撤回旧版，再重新提交新版。</w:t>
      </w:r>
    </w:p>
    <w:p w14:paraId="53C1A56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4-7、关于响应文件的雷同性分析</w:t>
      </w:r>
    </w:p>
    <w:p w14:paraId="1A14E0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陕西省公共资源交易中心《关于在政府采购交易系统中开通标书雷同性分析功能的通知》，在符合性审查环节，将由评标委员会（磋商小组/谈判小组/询价小组）在评标系统中对供应商的电子响应文件进行雷同性分析。雷同性分析由两项指标组成，分别是“文件制作机器码”和“文件创建标识码”。其中，前者通过验证电子响应文件制作设备的特征信息（如MAC 地址、硬盘序列号、CPU 编号、主板号等），判断电子响应文件是否出自同一台设备。若“文件制作机器码”一致，则表明不同投标供应商的电子响应文件出自同一台制作设备，根据《陕西省财政厅关于政府采购有关政策的复函》（陕财办采函〔2019〕18 号），该情形可以视为投标供应商串通投标，其投标无效。若“文件创建标识码”一致，则表示不同投标供应商使用响应文件制作软件时，使用同一源工程文件，该情形建议由评标委员会（磋商小组/谈判小组/询价小组）结合项目情况综合判定。”</w:t>
      </w:r>
    </w:p>
    <w:p w14:paraId="65BB09D8">
      <w:pPr>
        <w:pStyle w:val="13"/>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4-8、磋商报价</w:t>
      </w:r>
    </w:p>
    <w:p w14:paraId="7402F56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①磋商报价：报价以人民币报价。磋商总报价是供应商响应本项目要求的全部工作内容的价格体现，供应商在报价时应充分考虑所有可能发生的费用，磋商文件未列明，而供应商认为应当计取的费用均应列入报价中。报价时不论是否计取，采购人均按已计取对待，不再单独支付其他任何费用。</w:t>
      </w:r>
    </w:p>
    <w:p w14:paraId="0900183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②供应商的磋商总报价，应是完成本采购项目服务范围及服务期限的全部内容，作为供应商计算单价或总价的依据。</w:t>
      </w:r>
    </w:p>
    <w:p w14:paraId="1F0D3A8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③除非采购人对竞争性磋商文件予以修改，供应商应按采购人提供的采购内容及要求中列出的项目的单价和合价进行完整报价。每一项目只允许有一个报价。任何有选择的报价将不予接受。供应商未填单价或合价的项目，在实施后，采购人将不予以支付，并视为该项费用已包括在其他有价款的单价或合价内。</w:t>
      </w:r>
    </w:p>
    <w:p w14:paraId="5B41763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④结算调整幅度：本项目采用竞争性磋商方式采购，需进行二次报价，结算时分项单价将按最终报价与首次报价的差距同比例调整，单价浮动后质量等级不得变更。</w:t>
      </w:r>
    </w:p>
    <w:p w14:paraId="6E8ED5F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⑤本项目磋商报价采用的币种为人民币。（精确到小数点后两位）</w:t>
      </w:r>
    </w:p>
    <w:p w14:paraId="1A63CE8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⑥本项目磋商报价采用的单位为元 。</w:t>
      </w:r>
    </w:p>
    <w:p w14:paraId="0E7EA88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4-9、供应商提交响应文件时，出现下列情况之一的，其响应文件将被拒绝接收：</w:t>
      </w:r>
    </w:p>
    <w:p w14:paraId="2B78BDE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27" w:name="_Toc458617458"/>
      <w:bookmarkStart w:id="28" w:name="_Toc30052"/>
      <w:bookmarkStart w:id="29" w:name="_Toc458617735"/>
      <w:r>
        <w:rPr>
          <w:rFonts w:hint="eastAsia" w:ascii="宋体" w:hAnsi="宋体" w:eastAsia="宋体" w:cs="宋体"/>
          <w:color w:val="000000" w:themeColor="text1"/>
          <w:szCs w:val="24"/>
          <w:highlight w:val="none"/>
          <w14:textFill>
            <w14:solidFill>
              <w14:schemeClr w14:val="tx1"/>
            </w14:solidFill>
          </w14:textFill>
        </w:rPr>
        <w:t>1、误投的；</w:t>
      </w:r>
    </w:p>
    <w:p w14:paraId="7E6121F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2、逾期提交电子响应文件的；</w:t>
      </w:r>
    </w:p>
    <w:p w14:paraId="6097A5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3、未在磋商文件规定时间签到的。</w:t>
      </w:r>
    </w:p>
    <w:p w14:paraId="792B8E5A">
      <w:pPr>
        <w:spacing w:line="56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五、</w:t>
      </w:r>
      <w:bookmarkEnd w:id="27"/>
      <w:bookmarkEnd w:id="28"/>
      <w:bookmarkEnd w:id="29"/>
      <w:r>
        <w:rPr>
          <w:rFonts w:hint="eastAsia" w:ascii="宋体" w:hAnsi="宋体" w:eastAsia="宋体" w:cs="宋体"/>
          <w:color w:val="000000" w:themeColor="text1"/>
          <w:szCs w:val="24"/>
          <w:highlight w:val="none"/>
          <w14:textFill>
            <w14:solidFill>
              <w14:schemeClr w14:val="tx1"/>
            </w14:solidFill>
          </w14:textFill>
        </w:rPr>
        <w:t>磋商保证金</w:t>
      </w:r>
    </w:p>
    <w:p w14:paraId="1FAA577B">
      <w:pPr>
        <w:tabs>
          <w:tab w:val="left" w:pos="7013"/>
        </w:tabs>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1、保证金缴纳形式：见供应商须知前附表。</w:t>
      </w:r>
      <w:r>
        <w:rPr>
          <w:rFonts w:hint="eastAsia" w:ascii="宋体" w:hAnsi="宋体" w:eastAsia="宋体" w:cs="宋体"/>
          <w:color w:val="000000" w:themeColor="text1"/>
          <w:szCs w:val="24"/>
          <w:highlight w:val="none"/>
          <w14:textFill>
            <w14:solidFill>
              <w14:schemeClr w14:val="tx1"/>
            </w14:solidFill>
          </w14:textFill>
        </w:rPr>
        <w:tab/>
      </w:r>
    </w:p>
    <w:p w14:paraId="21A11E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2、保证金缴纳递交截止时间：见供应商须知前附表。</w:t>
      </w:r>
    </w:p>
    <w:p w14:paraId="31CEDDA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3、退还磋商保证金：</w:t>
      </w:r>
    </w:p>
    <w:p w14:paraId="7276C459">
      <w:pPr>
        <w:spacing w:line="560" w:lineRule="exact"/>
        <w:ind w:firstLine="482" w:firstLineChars="200"/>
        <w:rPr>
          <w:rFonts w:ascii="宋体" w:hAnsi="宋体" w:eastAsia="宋体" w:cs="宋体"/>
          <w:b/>
          <w:bCs/>
          <w:color w:val="000000" w:themeColor="text1"/>
          <w:szCs w:val="24"/>
          <w:highlight w:val="none"/>
          <w:u w:val="singl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3-1、</w:t>
      </w:r>
      <w:r>
        <w:rPr>
          <w:rFonts w:hint="eastAsia" w:ascii="宋体" w:hAnsi="宋体" w:eastAsia="宋体" w:cs="宋体"/>
          <w:b/>
          <w:bCs/>
          <w:color w:val="000000" w:themeColor="text1"/>
          <w:szCs w:val="24"/>
          <w:highlight w:val="none"/>
          <w:u w:val="single"/>
          <w14:textFill>
            <w14:solidFill>
              <w14:schemeClr w14:val="tx1"/>
            </w14:solidFill>
          </w14:textFill>
        </w:rPr>
        <w:t>在投标截止时间前撤回已提交响应文件的供应商的磋商保证金，将在采购代理机构收到供应商书面撤回通知之日起5个工作日内退还（无息）。</w:t>
      </w:r>
    </w:p>
    <w:p w14:paraId="677ADB17">
      <w:pPr>
        <w:spacing w:line="560" w:lineRule="exact"/>
        <w:ind w:firstLine="482" w:firstLineChars="200"/>
        <w:rPr>
          <w:rFonts w:ascii="宋体" w:hAnsi="宋体" w:eastAsia="宋体" w:cs="宋体"/>
          <w:b/>
          <w:color w:val="000000" w:themeColor="text1"/>
          <w:szCs w:val="24"/>
          <w:highlight w:val="none"/>
          <w:u w:val="singl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3-2、</w:t>
      </w:r>
      <w:r>
        <w:rPr>
          <w:rFonts w:hint="eastAsia" w:ascii="宋体" w:hAnsi="宋体" w:eastAsia="宋体" w:cs="宋体"/>
          <w:b/>
          <w:color w:val="000000" w:themeColor="text1"/>
          <w:spacing w:val="-14"/>
          <w:szCs w:val="24"/>
          <w:highlight w:val="none"/>
          <w:u w:val="single"/>
          <w14:textFill>
            <w14:solidFill>
              <w14:schemeClr w14:val="tx1"/>
            </w14:solidFill>
          </w14:textFill>
        </w:rPr>
        <w:t>所</w:t>
      </w:r>
      <w:r>
        <w:rPr>
          <w:rFonts w:hint="eastAsia" w:ascii="宋体" w:hAnsi="宋体" w:eastAsia="宋体" w:cs="宋体"/>
          <w:b/>
          <w:color w:val="000000" w:themeColor="text1"/>
          <w:szCs w:val="24"/>
          <w:highlight w:val="none"/>
          <w:u w:val="single"/>
          <w14:textFill>
            <w14:solidFill>
              <w14:schemeClr w14:val="tx1"/>
            </w14:solidFill>
          </w14:textFill>
        </w:rPr>
        <w:t>有未中标人的磋商保证金，将在成交通知书发出后5个工作日内退还（无息）。</w:t>
      </w:r>
    </w:p>
    <w:p w14:paraId="2C5EE445">
      <w:pPr>
        <w:spacing w:line="560" w:lineRule="exact"/>
        <w:ind w:firstLine="482" w:firstLineChars="200"/>
        <w:rPr>
          <w:rFonts w:ascii="宋体" w:hAnsi="宋体" w:eastAsia="宋体" w:cs="宋体"/>
          <w:b/>
          <w:bCs/>
          <w:color w:val="000000" w:themeColor="text1"/>
          <w:szCs w:val="24"/>
          <w:highlight w:val="none"/>
          <w:u w:val="singl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3-3、</w:t>
      </w:r>
      <w:r>
        <w:rPr>
          <w:rFonts w:hint="eastAsia" w:ascii="宋体" w:hAnsi="宋体" w:eastAsia="宋体" w:cs="宋体"/>
          <w:b/>
          <w:bCs/>
          <w:color w:val="000000" w:themeColor="text1"/>
          <w:szCs w:val="24"/>
          <w:highlight w:val="none"/>
          <w:u w:val="single"/>
          <w14:textFill>
            <w14:solidFill>
              <w14:schemeClr w14:val="tx1"/>
            </w14:solidFill>
          </w14:textFill>
        </w:rPr>
        <w:t>中标人的磋商保证金，将在签订合同后</w:t>
      </w:r>
      <w:r>
        <w:rPr>
          <w:rFonts w:hint="eastAsia" w:ascii="宋体" w:hAnsi="宋体" w:eastAsia="宋体" w:cs="宋体"/>
          <w:b/>
          <w:color w:val="000000" w:themeColor="text1"/>
          <w:szCs w:val="24"/>
          <w:highlight w:val="none"/>
          <w:u w:val="single"/>
          <w14:textFill>
            <w14:solidFill>
              <w14:schemeClr w14:val="tx1"/>
            </w14:solidFill>
          </w14:textFill>
        </w:rPr>
        <w:t>5个工作日内</w:t>
      </w:r>
      <w:r>
        <w:rPr>
          <w:rFonts w:hint="eastAsia" w:ascii="宋体" w:hAnsi="宋体" w:eastAsia="宋体" w:cs="宋体"/>
          <w:b/>
          <w:bCs/>
          <w:color w:val="000000" w:themeColor="text1"/>
          <w:szCs w:val="24"/>
          <w:highlight w:val="none"/>
          <w:u w:val="single"/>
          <w14:textFill>
            <w14:solidFill>
              <w14:schemeClr w14:val="tx1"/>
            </w14:solidFill>
          </w14:textFill>
        </w:rPr>
        <w:t>执合同予以退还（无息）。</w:t>
      </w:r>
    </w:p>
    <w:p w14:paraId="20AA0AC9">
      <w:pPr>
        <w:tabs>
          <w:tab w:val="left" w:pos="2700"/>
        </w:tabs>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4、发生下列情况之一时，磋商保证金将不予退还：</w:t>
      </w:r>
    </w:p>
    <w:p w14:paraId="4552341C">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w:t>
      </w:r>
      <w:r>
        <w:rPr>
          <w:rFonts w:hint="eastAsia" w:ascii="宋体" w:hAnsi="宋体" w:eastAsia="宋体" w:cs="宋体"/>
          <w:color w:val="000000" w:themeColor="text1"/>
          <w:szCs w:val="24"/>
          <w:highlight w:val="none"/>
          <w:u w:val="single"/>
          <w14:textFill>
            <w14:solidFill>
              <w14:schemeClr w14:val="tx1"/>
            </w14:solidFill>
          </w14:textFill>
        </w:rPr>
        <w:t>供应商提供虚假资质谋取中标的；</w:t>
      </w:r>
    </w:p>
    <w:p w14:paraId="29345558">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w:t>
      </w:r>
      <w:r>
        <w:rPr>
          <w:rFonts w:hint="eastAsia" w:ascii="宋体" w:hAnsi="宋体" w:eastAsia="宋体" w:cs="宋体"/>
          <w:color w:val="000000" w:themeColor="text1"/>
          <w:szCs w:val="24"/>
          <w:highlight w:val="none"/>
          <w:u w:val="single"/>
          <w14:textFill>
            <w14:solidFill>
              <w14:schemeClr w14:val="tx1"/>
            </w14:solidFill>
          </w14:textFill>
        </w:rPr>
        <w:t>有围标、串标现象，经查证属实的；</w:t>
      </w:r>
    </w:p>
    <w:p w14:paraId="38B797DC">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w:t>
      </w:r>
      <w:r>
        <w:rPr>
          <w:rFonts w:hint="eastAsia" w:ascii="宋体" w:hAnsi="宋体" w:eastAsia="宋体" w:cs="宋体"/>
          <w:color w:val="000000" w:themeColor="text1"/>
          <w:szCs w:val="24"/>
          <w:highlight w:val="none"/>
          <w:u w:val="single"/>
          <w14:textFill>
            <w14:solidFill>
              <w14:schemeClr w14:val="tx1"/>
            </w14:solidFill>
          </w14:textFill>
        </w:rPr>
        <w:t>供应商在竞争性磋商文件规定的投标有效期内撤回投标的；</w:t>
      </w:r>
    </w:p>
    <w:p w14:paraId="5EBA21EA">
      <w:pPr>
        <w:spacing w:line="560" w:lineRule="exact"/>
        <w:ind w:left="720" w:leftChars="200" w:hanging="240" w:hangingChars="1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w:t>
      </w:r>
      <w:r>
        <w:rPr>
          <w:rFonts w:hint="eastAsia" w:ascii="宋体" w:hAnsi="宋体" w:eastAsia="宋体" w:cs="宋体"/>
          <w:color w:val="000000" w:themeColor="text1"/>
          <w:szCs w:val="24"/>
          <w:highlight w:val="none"/>
          <w:u w:val="single"/>
          <w14:textFill>
            <w14:solidFill>
              <w14:schemeClr w14:val="tx1"/>
            </w14:solidFill>
          </w14:textFill>
        </w:rPr>
        <w:t>供应商自行放弃成交资格的；</w:t>
      </w:r>
    </w:p>
    <w:p w14:paraId="650105F9">
      <w:pPr>
        <w:spacing w:line="560" w:lineRule="exact"/>
        <w:ind w:left="720" w:leftChars="200" w:hanging="240" w:hangingChars="1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w:t>
      </w:r>
      <w:r>
        <w:rPr>
          <w:rFonts w:hint="eastAsia" w:ascii="宋体" w:hAnsi="宋体" w:eastAsia="宋体" w:cs="宋体"/>
          <w:color w:val="000000" w:themeColor="text1"/>
          <w:szCs w:val="24"/>
          <w:highlight w:val="none"/>
          <w:u w:val="single"/>
          <w14:textFill>
            <w14:solidFill>
              <w14:schemeClr w14:val="tx1"/>
            </w14:solidFill>
          </w14:textFill>
        </w:rPr>
        <w:t>成交人不在规定的时效内领取《成交通知书》的；</w:t>
      </w:r>
    </w:p>
    <w:p w14:paraId="74C94405">
      <w:pPr>
        <w:spacing w:line="560" w:lineRule="exact"/>
        <w:ind w:left="720" w:leftChars="200" w:hanging="240" w:hangingChars="1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Theme="minorEastAsia" w:hAnsiTheme="minorEastAsia" w:cstheme="minorEastAsia"/>
          <w:color w:val="000000" w:themeColor="text1"/>
          <w:szCs w:val="24"/>
          <w:u w:val="none"/>
          <w:lang w:val="en-US" w:eastAsia="zh-CN"/>
          <w14:textFill>
            <w14:solidFill>
              <w14:schemeClr w14:val="tx1"/>
            </w14:solidFill>
          </w14:textFill>
        </w:rPr>
        <w:t>4-6、</w:t>
      </w:r>
      <w:r>
        <w:rPr>
          <w:rFonts w:hint="eastAsia" w:asciiTheme="minorEastAsia" w:hAnsiTheme="minorEastAsia" w:cstheme="minorEastAsia"/>
          <w:color w:val="000000" w:themeColor="text1"/>
          <w:szCs w:val="24"/>
          <w:u w:val="single"/>
          <w14:textFill>
            <w14:solidFill>
              <w14:schemeClr w14:val="tx1"/>
            </w14:solidFill>
          </w14:textFill>
        </w:rPr>
        <w:t>成交人不按规定支付成交服务费的；</w:t>
      </w:r>
    </w:p>
    <w:p w14:paraId="628ACECE">
      <w:pPr>
        <w:spacing w:line="560" w:lineRule="exact"/>
        <w:ind w:left="720" w:leftChars="200" w:hanging="240" w:hangingChars="1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成交人因自身原因未能在规定期限内与采购人签订合同的；</w:t>
      </w:r>
    </w:p>
    <w:p w14:paraId="6A28224C">
      <w:pPr>
        <w:spacing w:line="560" w:lineRule="exact"/>
        <w:ind w:left="720" w:leftChars="200" w:hanging="240" w:hanging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en-US" w:eastAsia="zh-CN"/>
          <w14:textFill>
            <w14:solidFill>
              <w14:schemeClr w14:val="tx1"/>
            </w14:solidFill>
          </w14:textFill>
        </w:rPr>
        <w:t>8</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供应商交纳磋商保证金后，无故不参加投标活动的。</w:t>
      </w:r>
    </w:p>
    <w:p w14:paraId="306B24B2">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30" w:name="_Toc458617459"/>
      <w:bookmarkStart w:id="31" w:name="_Toc458617736"/>
      <w:bookmarkStart w:id="32" w:name="_Toc12278"/>
      <w:r>
        <w:rPr>
          <w:rFonts w:hint="eastAsia" w:ascii="宋体" w:hAnsi="宋体" w:eastAsia="宋体" w:cs="宋体"/>
          <w:color w:val="000000" w:themeColor="text1"/>
          <w:kern w:val="0"/>
          <w:sz w:val="28"/>
          <w:szCs w:val="28"/>
          <w:highlight w:val="none"/>
          <w14:textFill>
            <w14:solidFill>
              <w14:schemeClr w14:val="tx1"/>
            </w14:solidFill>
          </w14:textFill>
        </w:rPr>
        <w:t>六、投标</w:t>
      </w:r>
      <w:bookmarkEnd w:id="30"/>
      <w:bookmarkEnd w:id="31"/>
      <w:bookmarkEnd w:id="32"/>
    </w:p>
    <w:p w14:paraId="3395B09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33" w:name="_Toc458617737"/>
      <w:bookmarkStart w:id="34" w:name="_Toc458617460"/>
      <w:bookmarkStart w:id="35" w:name="_Toc29578"/>
      <w:r>
        <w:rPr>
          <w:rFonts w:hint="eastAsia" w:ascii="宋体" w:hAnsi="宋体" w:eastAsia="宋体" w:cs="宋体"/>
          <w:color w:val="000000" w:themeColor="text1"/>
          <w:szCs w:val="24"/>
          <w:highlight w:val="none"/>
          <w14:textFill>
            <w14:solidFill>
              <w14:schemeClr w14:val="tx1"/>
            </w14:solidFill>
          </w14:textFill>
        </w:rPr>
        <w:t>1、授权委托</w:t>
      </w:r>
    </w:p>
    <w:p w14:paraId="6F9EC1E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代表为供应商法定代表人（或单位负责人）的，应持法定代表人（或单位负责人）资格证明书和身份证。供应商代表不是供应商法定代表人（或单位负责人）的，应持法定代表人资格证明书、法定代表人授权书及本人身份证原件。</w:t>
      </w:r>
    </w:p>
    <w:p w14:paraId="3F076F7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2、联合体磋商</w:t>
      </w:r>
    </w:p>
    <w:p w14:paraId="5715470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本合同包</w:t>
      </w:r>
      <w:r>
        <w:rPr>
          <w:rFonts w:hint="eastAsia" w:ascii="宋体" w:hAnsi="宋体" w:eastAsia="宋体" w:cs="宋体"/>
          <w:color w:val="000000" w:themeColor="text1"/>
          <w:szCs w:val="24"/>
          <w:highlight w:val="none"/>
          <w:lang w:val="en-US" w:eastAsia="zh-CN"/>
          <w14:textFill>
            <w14:solidFill>
              <w14:schemeClr w14:val="tx1"/>
            </w14:solidFill>
          </w14:textFill>
        </w:rPr>
        <w:t>不</w:t>
      </w:r>
      <w:r>
        <w:rPr>
          <w:rFonts w:hint="eastAsia" w:ascii="宋体" w:hAnsi="宋体" w:eastAsia="宋体" w:cs="宋体"/>
          <w:color w:val="000000" w:themeColor="text1"/>
          <w:szCs w:val="24"/>
          <w:highlight w:val="none"/>
          <w14:textFill>
            <w14:solidFill>
              <w14:schemeClr w14:val="tx1"/>
            </w14:solidFill>
          </w14:textFill>
        </w:rPr>
        <w:t>接受联合体投标，</w:t>
      </w:r>
    </w:p>
    <w:p w14:paraId="0F4593A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3、转包与分包</w:t>
      </w:r>
    </w:p>
    <w:p w14:paraId="781D307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本项目不允许采取转包或分包方式履行合同。</w:t>
      </w:r>
    </w:p>
    <w:p w14:paraId="5249BB2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4、供应商应在供应商须知前附表规定的投标截止时间前，通过互联网使用CA 数字证书登录全国公共资源交易平台（陕西省宝鸡市）宝鸡市公共资源交易中心（</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 xml:space="preserve">）“电子交易平台”，将加密的响应文件上传，并保存上传成功后系统自动生成的电子签收凭证，递交时间即为电子签收凭证时间。供应商应充分考虑上传文件时的不可预见因素，未在投标截止时间前完成上传的，视为逾期送达，采购人（“电子交易平台”）将拒绝接收。 </w:t>
      </w:r>
    </w:p>
    <w:p w14:paraId="37BCAD78">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七、开标、评标和定标</w:t>
      </w:r>
      <w:bookmarkEnd w:id="33"/>
      <w:bookmarkEnd w:id="34"/>
      <w:bookmarkEnd w:id="35"/>
    </w:p>
    <w:p w14:paraId="3AB5C8B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1、开标： </w:t>
      </w:r>
    </w:p>
    <w:p w14:paraId="03A0E4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1.1开标时间和地点</w:t>
      </w:r>
    </w:p>
    <w:p w14:paraId="5B73BE9C">
      <w:pPr>
        <w:spacing w:line="560" w:lineRule="exact"/>
        <w:ind w:firstLine="480" w:firstLineChars="200"/>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采购代理机构按竞争性磋商文件规定的</w:t>
      </w:r>
      <w:r>
        <w:rPr>
          <w:rFonts w:hint="eastAsia" w:ascii="宋体" w:hAnsi="宋体" w:eastAsia="宋体" w:cs="宋体"/>
          <w:color w:val="000000" w:themeColor="text1"/>
          <w:szCs w:val="24"/>
          <w:highlight w:val="none"/>
          <w:lang w:val="en-US" w:eastAsia="zh-CN"/>
          <w14:textFill>
            <w14:solidFill>
              <w14:schemeClr w14:val="tx1"/>
            </w14:solidFill>
          </w14:textFill>
        </w:rPr>
        <w:t>时间登录不见面开标大厅，</w:t>
      </w:r>
      <w:r>
        <w:rPr>
          <w:rFonts w:hint="eastAsia" w:ascii="宋体" w:hAnsi="宋体" w:eastAsia="宋体" w:cs="宋体"/>
          <w:color w:val="000000" w:themeColor="text1"/>
          <w:szCs w:val="24"/>
          <w:highlight w:val="none"/>
          <w14:textFill>
            <w14:solidFill>
              <w14:schemeClr w14:val="tx1"/>
            </w14:solidFill>
          </w14:textFill>
        </w:rPr>
        <w:t>因供应商自身</w:t>
      </w:r>
      <w:r>
        <w:rPr>
          <w:rFonts w:hint="eastAsia" w:ascii="宋体" w:hAnsi="宋体" w:eastAsia="宋体" w:cs="宋体"/>
          <w:color w:val="000000" w:themeColor="text1"/>
          <w:szCs w:val="24"/>
          <w:highlight w:val="none"/>
          <w:lang w:val="en-US" w:eastAsia="zh-CN"/>
          <w14:textFill>
            <w14:solidFill>
              <w14:schemeClr w14:val="tx1"/>
            </w14:solidFill>
          </w14:textFill>
        </w:rPr>
        <w:t>设备</w:t>
      </w:r>
      <w:r>
        <w:rPr>
          <w:rFonts w:hint="eastAsia" w:ascii="宋体" w:hAnsi="宋体" w:eastAsia="宋体" w:cs="宋体"/>
          <w:color w:val="000000" w:themeColor="text1"/>
          <w:szCs w:val="24"/>
          <w:highlight w:val="none"/>
          <w14:textFill>
            <w14:solidFill>
              <w14:schemeClr w14:val="tx1"/>
            </w14:solidFill>
          </w14:textFill>
        </w:rPr>
        <w:t>故障或自身原因导致无法完成投标的，由供应商自行承担后果</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磋商整个过程接受监督部门的监督。</w:t>
      </w:r>
    </w:p>
    <w:p w14:paraId="1B23BCE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1.2开标程序</w:t>
      </w:r>
    </w:p>
    <w:p w14:paraId="0E1D780A">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1）采购代理机构在规定的时间和地点组织线上磋商，投标单位须委派代表线上参会； </w:t>
      </w:r>
    </w:p>
    <w:p w14:paraId="12A35EF0">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2）开标时，供应商须提前进入不见面开标大厅、等待开标并签到、公布开标纪律、查看投标人名单、标书解密、批量导入、磋商、等待二次报价（等待时不可退出系统，如退出系统后果自行承担）； </w:t>
      </w:r>
    </w:p>
    <w:p w14:paraId="1E7F59B3">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3）文字异议：投标人在开标期间，可以通过文字向主持人提问； </w:t>
      </w:r>
    </w:p>
    <w:p w14:paraId="44D795BC">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4）不见面询标：投标人在收到评委的质询处理后进入询标； </w:t>
      </w:r>
    </w:p>
    <w:p w14:paraId="155581A4">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5）多轮报价：投标人在收到评委发起的多轮报价后进入报价页面进行二次报价； </w:t>
      </w:r>
    </w:p>
    <w:p w14:paraId="0F23B818">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6）输入报价后签章提交； </w:t>
      </w:r>
    </w:p>
    <w:p w14:paraId="2F81EB0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7）采购代理机构做好开标记录。</w:t>
      </w:r>
    </w:p>
    <w:p w14:paraId="19D21D6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1.3、在开标环节出现下列情况之一的，其电子响应文件视为无效文件：</w:t>
      </w:r>
    </w:p>
    <w:p w14:paraId="275F75E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（1）供应商拒绝对电子响应文件进行解密的；</w:t>
      </w:r>
    </w:p>
    <w:p w14:paraId="25D53F2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（2）因供应商自身原因（如未带 CA 锁、或所带 CA 锁与制作电子响应文件使用的 CA 锁不一致、或沿用旧版竞争性磋商文件编制响应文件等情形），导致在规定时间内无法解密响应文件的；</w:t>
      </w:r>
    </w:p>
    <w:p w14:paraId="5B8DD0F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（3）上传的电子响应文件无法打开的；</w:t>
      </w:r>
    </w:p>
    <w:p w14:paraId="471E87F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（4）政府采购法律法规规定的其他无效情形。</w:t>
      </w:r>
    </w:p>
    <w:p w14:paraId="73CDC4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1.4当出现以下情况时，应对未开标的中止电子开标，并在恢复正常后及时安排时间开标： </w:t>
      </w:r>
    </w:p>
    <w:p w14:paraId="7A7B537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（1）系统服务器发生故障，无法访问或无法使用系统； </w:t>
      </w:r>
    </w:p>
    <w:p w14:paraId="687B5AA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（2）系统的软件或数据库出现错误，不能进行正常操作； </w:t>
      </w:r>
    </w:p>
    <w:p w14:paraId="27EC7FF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（3）系统发现有安全漏洞，有潜在的泄密危险； </w:t>
      </w:r>
    </w:p>
    <w:p w14:paraId="407BD32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（4）出现断电事故且短时间内无法恢复供电； </w:t>
      </w:r>
    </w:p>
    <w:p w14:paraId="12FE478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（5）其他无法保证招投标过程正常进行的情形。</w:t>
      </w:r>
    </w:p>
    <w:p w14:paraId="3E305021">
      <w:pPr>
        <w:spacing w:line="560" w:lineRule="exact"/>
        <w:ind w:firstLine="480" w:firstLineChars="200"/>
        <w:rPr>
          <w:rFonts w:ascii="宋体" w:hAnsi="宋体" w:eastAsia="宋体" w:cs="宋体"/>
          <w:highlight w:val="none"/>
        </w:rPr>
      </w:pPr>
      <w:r>
        <w:rPr>
          <w:rFonts w:hint="eastAsia" w:ascii="宋体" w:hAnsi="宋体" w:eastAsia="宋体" w:cs="宋体"/>
          <w:color w:val="000000" w:themeColor="text1"/>
          <w:szCs w:val="24"/>
          <w:highlight w:val="none"/>
          <w14:textFill>
            <w14:solidFill>
              <w14:schemeClr w14:val="tx1"/>
            </w14:solidFill>
          </w14:textFill>
        </w:rPr>
        <w:t>1.5终止电子开标时，必须对原有资料及信息作出妥善保密处理。</w:t>
      </w:r>
    </w:p>
    <w:p w14:paraId="5DD28F73">
      <w:pPr>
        <w:spacing w:line="560" w:lineRule="exact"/>
        <w:ind w:firstLine="482" w:firstLineChars="200"/>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2、评标</w:t>
      </w:r>
    </w:p>
    <w:p w14:paraId="18EE632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2-1、</w:t>
      </w:r>
      <w:r>
        <w:rPr>
          <w:rFonts w:hint="eastAsia" w:ascii="宋体" w:hAnsi="宋体" w:eastAsia="宋体" w:cs="宋体"/>
          <w:bCs/>
          <w:color w:val="000000" w:themeColor="text1"/>
          <w:szCs w:val="24"/>
          <w:highlight w:val="none"/>
          <w14:textFill>
            <w14:solidFill>
              <w14:schemeClr w14:val="tx1"/>
            </w14:solidFill>
          </w14:textFill>
        </w:rPr>
        <w:t>磋商小组</w:t>
      </w:r>
    </w:p>
    <w:p w14:paraId="2593234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（1）采购代理机构根据《中华人民共和国政府采购法》及其实施条例、《政府采购竞争性磋商采购方式管理暂行办法》（财库〔2014〕214号）等规定，依法组建</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w:t>
      </w:r>
    </w:p>
    <w:p w14:paraId="015B824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（2）采购人派代表进入评标室时，须向采购代理机构出具授权函。</w:t>
      </w:r>
    </w:p>
    <w:p w14:paraId="53623A1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（3）磋商小组成员应推荐一名评审专家担任评审组长，并由评审组长牵头组织该项目评审工作，采购人代表不得担任评审组长。</w:t>
      </w:r>
    </w:p>
    <w:p w14:paraId="60D4A8F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（4）磋商小组成员不得参加开标活动。</w:t>
      </w:r>
    </w:p>
    <w:p w14:paraId="4BC01A3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（5）磋商小组成员应当遵守并履行下列职责义务：</w:t>
      </w:r>
    </w:p>
    <w:p w14:paraId="0C9C9D6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a、遵纪守法，客观、公正、认真负责地履行职责，根据竞争性磋商文件规定的评标程序、评标方法和评标标准审查响应文件；</w:t>
      </w:r>
    </w:p>
    <w:p w14:paraId="21BE3E8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b、符合性审查、评价响应文件是否符合竞争性磋商文件的商务、技术等实质性要求；</w:t>
      </w:r>
    </w:p>
    <w:p w14:paraId="33D1739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c、要求供应商对响应文件有关事项作出澄清或者说明；</w:t>
      </w:r>
    </w:p>
    <w:p w14:paraId="662B24A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d、对响应文件进行比较和评价；</w:t>
      </w:r>
    </w:p>
    <w:p w14:paraId="712B797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e、确定成交候选人名单，以及根据采购人委托直接确定成交人；</w:t>
      </w:r>
    </w:p>
    <w:p w14:paraId="41A82E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f、向采购人、采购代理机构或者有关部门报告评标中发现的违法行为； </w:t>
      </w:r>
    </w:p>
    <w:p w14:paraId="48E603A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g、对评标过程及各供应商的商业机密予以保密；</w:t>
      </w:r>
    </w:p>
    <w:p w14:paraId="045D41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h、配合采购人、采购代理机构答复各供应商提出的质疑；</w:t>
      </w:r>
    </w:p>
    <w:p w14:paraId="60EED12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i、配合各部门的投诉处理和监督检查工作。</w:t>
      </w:r>
    </w:p>
    <w:p w14:paraId="272B4B1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2-2、在政府采购活动中，采购人员及相关人员（包括磋商小组）与供应商有下列利害关系之一的，应当回避：</w:t>
      </w:r>
    </w:p>
    <w:p w14:paraId="78D74C4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（1）参加采购活动前3年内与供应商存在劳动关系；</w:t>
      </w:r>
    </w:p>
    <w:p w14:paraId="7941739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（2）参加采购活动前3年内担任供应商的董事、监事；</w:t>
      </w:r>
    </w:p>
    <w:p w14:paraId="0FD5F8A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（3）参加采购活动前3年内是供应商的控股股东或者实际控制人；</w:t>
      </w:r>
    </w:p>
    <w:p w14:paraId="22A21F5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（4）与供应商的法定代表人或者负责人有夫妻、直系血亲、三代以内旁系血亲或者近姻亲关系；</w:t>
      </w:r>
    </w:p>
    <w:p w14:paraId="12426BE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（5）与供应商有其他可能影响政府采购活动公平、公正进行的关系。</w:t>
      </w:r>
    </w:p>
    <w:p w14:paraId="00560A5A">
      <w:pPr>
        <w:spacing w:line="560" w:lineRule="exact"/>
        <w:ind w:firstLine="480" w:firstLineChars="200"/>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2-3、评</w:t>
      </w:r>
      <w:r>
        <w:rPr>
          <w:rFonts w:hint="eastAsia" w:ascii="宋体" w:hAnsi="宋体" w:eastAsia="宋体" w:cs="宋体"/>
          <w:bCs/>
          <w:color w:val="000000" w:themeColor="text1"/>
          <w:szCs w:val="24"/>
          <w:highlight w:val="none"/>
          <w:lang w:val="en-US" w:eastAsia="zh-CN"/>
          <w14:textFill>
            <w14:solidFill>
              <w14:schemeClr w14:val="tx1"/>
            </w14:solidFill>
          </w14:textFill>
        </w:rPr>
        <w:t>审</w:t>
      </w:r>
      <w:r>
        <w:rPr>
          <w:rFonts w:hint="eastAsia" w:ascii="宋体" w:hAnsi="宋体" w:eastAsia="宋体" w:cs="宋体"/>
          <w:bCs/>
          <w:color w:val="000000" w:themeColor="text1"/>
          <w:szCs w:val="24"/>
          <w:highlight w:val="none"/>
          <w14:textFill>
            <w14:solidFill>
              <w14:schemeClr w14:val="tx1"/>
            </w14:solidFill>
          </w14:textFill>
        </w:rPr>
        <w:t>原则：</w:t>
      </w:r>
      <w:r>
        <w:rPr>
          <w:rFonts w:hint="eastAsia" w:ascii="宋体" w:hAnsi="宋体" w:eastAsia="宋体" w:cs="宋体"/>
          <w:color w:val="000000" w:themeColor="text1"/>
          <w:szCs w:val="24"/>
          <w:highlight w:val="none"/>
          <w14:textFill>
            <w14:solidFill>
              <w14:schemeClr w14:val="tx1"/>
            </w14:solidFill>
          </w14:textFill>
        </w:rPr>
        <w:t>坚持</w:t>
      </w:r>
      <w:r>
        <w:rPr>
          <w:rFonts w:hint="eastAsia" w:ascii="宋体" w:hAnsi="宋体" w:eastAsia="宋体" w:cs="宋体"/>
          <w:color w:val="000000" w:themeColor="text1"/>
          <w:szCs w:val="24"/>
          <w:highlight w:val="none"/>
          <w:lang w:val="en-US" w:eastAsia="zh-CN"/>
          <w14:textFill>
            <w14:solidFill>
              <w14:schemeClr w14:val="tx1"/>
            </w14:solidFill>
          </w14:textFill>
        </w:rPr>
        <w:t>客观</w:t>
      </w:r>
      <w:r>
        <w:rPr>
          <w:rFonts w:hint="eastAsia" w:ascii="宋体" w:hAnsi="宋体" w:eastAsia="宋体" w:cs="宋体"/>
          <w:color w:val="000000" w:themeColor="text1"/>
          <w:szCs w:val="24"/>
          <w:highlight w:val="none"/>
          <w14:textFill>
            <w14:solidFill>
              <w14:schemeClr w14:val="tx1"/>
            </w14:solidFill>
          </w14:textFill>
        </w:rPr>
        <w:t>、公正、</w:t>
      </w:r>
      <w:r>
        <w:rPr>
          <w:rFonts w:hint="eastAsia" w:ascii="宋体" w:hAnsi="宋体" w:eastAsia="宋体" w:cs="宋体"/>
          <w:color w:val="000000" w:themeColor="text1"/>
          <w:szCs w:val="24"/>
          <w:highlight w:val="none"/>
          <w:lang w:val="en-US" w:eastAsia="zh-CN"/>
          <w14:textFill>
            <w14:solidFill>
              <w14:schemeClr w14:val="tx1"/>
            </w14:solidFill>
          </w14:textFill>
        </w:rPr>
        <w:t>审慎</w:t>
      </w:r>
      <w:r>
        <w:rPr>
          <w:rFonts w:hint="eastAsia" w:ascii="宋体" w:hAnsi="宋体" w:eastAsia="宋体" w:cs="宋体"/>
          <w:color w:val="000000" w:themeColor="text1"/>
          <w:szCs w:val="24"/>
          <w:highlight w:val="none"/>
          <w14:textFill>
            <w14:solidFill>
              <w14:schemeClr w14:val="tx1"/>
            </w14:solidFill>
          </w14:textFill>
        </w:rPr>
        <w:t>原则，禁止不正当竞争。</w:t>
      </w:r>
    </w:p>
    <w:p w14:paraId="2D443F3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2-4、评</w:t>
      </w:r>
      <w:r>
        <w:rPr>
          <w:rFonts w:hint="eastAsia" w:ascii="宋体" w:hAnsi="宋体" w:eastAsia="宋体" w:cs="宋体"/>
          <w:bCs/>
          <w:color w:val="000000" w:themeColor="text1"/>
          <w:szCs w:val="24"/>
          <w:highlight w:val="none"/>
          <w:lang w:val="en-US" w:eastAsia="zh-CN"/>
          <w14:textFill>
            <w14:solidFill>
              <w14:schemeClr w14:val="tx1"/>
            </w14:solidFill>
          </w14:textFill>
        </w:rPr>
        <w:t>审</w:t>
      </w:r>
      <w:r>
        <w:rPr>
          <w:rFonts w:hint="eastAsia" w:ascii="宋体" w:hAnsi="宋体" w:eastAsia="宋体" w:cs="宋体"/>
          <w:bCs/>
          <w:color w:val="000000" w:themeColor="text1"/>
          <w:szCs w:val="24"/>
          <w:highlight w:val="none"/>
          <w14:textFill>
            <w14:solidFill>
              <w14:schemeClr w14:val="tx1"/>
            </w14:solidFill>
          </w14:textFill>
        </w:rPr>
        <w:t>办法</w:t>
      </w:r>
      <w:r>
        <w:rPr>
          <w:rFonts w:hint="eastAsia" w:ascii="宋体" w:hAnsi="宋体" w:eastAsia="宋体" w:cs="宋体"/>
          <w:color w:val="000000" w:themeColor="text1"/>
          <w:szCs w:val="24"/>
          <w:highlight w:val="none"/>
          <w14:textFill>
            <w14:solidFill>
              <w14:schemeClr w14:val="tx1"/>
            </w14:solidFill>
          </w14:textFill>
        </w:rPr>
        <w:t>：本次招标采用综合评分法（详见本节评分标准）。</w:t>
      </w:r>
    </w:p>
    <w:p w14:paraId="44140F4D">
      <w:pPr>
        <w:spacing w:line="560" w:lineRule="exact"/>
        <w:ind w:firstLine="482"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2-5、评</w:t>
      </w:r>
      <w:r>
        <w:rPr>
          <w:rFonts w:hint="eastAsia" w:ascii="宋体" w:hAnsi="宋体" w:eastAsia="宋体" w:cs="宋体"/>
          <w:b/>
          <w:color w:val="000000" w:themeColor="text1"/>
          <w:szCs w:val="24"/>
          <w:highlight w:val="none"/>
          <w:lang w:val="en-US" w:eastAsia="zh-CN"/>
          <w14:textFill>
            <w14:solidFill>
              <w14:schemeClr w14:val="tx1"/>
            </w14:solidFill>
          </w14:textFill>
        </w:rPr>
        <w:t>审</w:t>
      </w:r>
      <w:r>
        <w:rPr>
          <w:rFonts w:hint="eastAsia" w:ascii="宋体" w:hAnsi="宋体" w:eastAsia="宋体" w:cs="宋体"/>
          <w:b/>
          <w:color w:val="000000" w:themeColor="text1"/>
          <w:szCs w:val="24"/>
          <w:highlight w:val="none"/>
          <w14:textFill>
            <w14:solidFill>
              <w14:schemeClr w14:val="tx1"/>
            </w14:solidFill>
          </w14:textFill>
        </w:rPr>
        <w:t>工作程序：</w:t>
      </w:r>
      <w:r>
        <w:rPr>
          <w:rFonts w:hint="eastAsia" w:ascii="宋体" w:hAnsi="宋体" w:eastAsia="宋体" w:cs="宋体"/>
          <w:color w:val="000000" w:themeColor="text1"/>
          <w:kern w:val="0"/>
          <w:highlight w:val="none"/>
          <w14:textFill>
            <w14:solidFill>
              <w14:schemeClr w14:val="tx1"/>
            </w14:solidFill>
          </w14:textFill>
        </w:rPr>
        <w:t>资格审查、</w:t>
      </w:r>
      <w:r>
        <w:rPr>
          <w:rFonts w:hint="eastAsia" w:ascii="宋体" w:hAnsi="宋体" w:eastAsia="宋体" w:cs="宋体"/>
          <w:color w:val="000000" w:themeColor="text1"/>
          <w:szCs w:val="24"/>
          <w:highlight w:val="none"/>
          <w14:textFill>
            <w14:solidFill>
              <w14:schemeClr w14:val="tx1"/>
            </w14:solidFill>
          </w14:textFill>
        </w:rPr>
        <w:t>符合性审查、最后报价、澄清、评价（详评）、推荐中标候选人的工作程序进行评标。</w:t>
      </w:r>
    </w:p>
    <w:p w14:paraId="2A1371A3">
      <w:pPr>
        <w:pStyle w:val="32"/>
        <w:widowControl/>
        <w:wordWrap w:val="0"/>
        <w:spacing w:line="560" w:lineRule="exact"/>
        <w:ind w:firstLine="480" w:firstLineChars="200"/>
        <w:jc w:val="both"/>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2-5-1、响应文件资格审查</w:t>
      </w:r>
    </w:p>
    <w:p w14:paraId="67EABB9E">
      <w:pPr>
        <w:pStyle w:val="32"/>
        <w:widowControl/>
        <w:wordWrap w:val="0"/>
        <w:spacing w:line="560" w:lineRule="exact"/>
        <w:ind w:firstLine="480" w:firstLineChars="200"/>
        <w:jc w:val="both"/>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磋商小组依法对供应商</w:t>
      </w:r>
      <w:r>
        <w:rPr>
          <w:rFonts w:hint="eastAsia" w:ascii="宋体" w:hAnsi="宋体" w:eastAsia="宋体" w:cs="宋体"/>
          <w:color w:val="000000" w:themeColor="text1"/>
          <w:highlight w:val="none"/>
          <w14:textFill>
            <w14:solidFill>
              <w14:schemeClr w14:val="tx1"/>
            </w14:solidFill>
          </w14:textFill>
        </w:rPr>
        <w:t>响应文件</w:t>
      </w:r>
      <w:r>
        <w:rPr>
          <w:rFonts w:hint="eastAsia" w:ascii="宋体" w:hAnsi="宋体" w:eastAsia="宋体" w:cs="宋体"/>
          <w:color w:val="000000" w:themeColor="text1"/>
          <w:highlight w:val="none"/>
          <w:lang w:val="en-US" w:eastAsia="zh-CN"/>
          <w14:textFill>
            <w14:solidFill>
              <w14:schemeClr w14:val="tx1"/>
            </w14:solidFill>
          </w14:textFill>
        </w:rPr>
        <w:t>资格证明文件进行审查：</w:t>
      </w:r>
    </w:p>
    <w:p w14:paraId="3EA8C5AD">
      <w:pPr>
        <w:pStyle w:val="32"/>
        <w:widowControl/>
        <w:numPr>
          <w:ilvl w:val="0"/>
          <w:numId w:val="4"/>
        </w:numPr>
        <w:wordWrap w:val="0"/>
        <w:spacing w:line="560" w:lineRule="exact"/>
        <w:ind w:firstLine="480" w:firstLineChars="200"/>
        <w:jc w:val="both"/>
        <w:rPr>
          <w:rFonts w:hint="eastAsia"/>
        </w:rPr>
      </w:pP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4452131F">
      <w:pPr>
        <w:pStyle w:val="32"/>
        <w:widowControl/>
        <w:numPr>
          <w:ilvl w:val="0"/>
          <w:numId w:val="0"/>
        </w:numPr>
        <w:wordWrap w:val="0"/>
        <w:spacing w:line="560" w:lineRule="exact"/>
        <w:ind w:firstLine="480" w:firstLineChars="200"/>
        <w:jc w:val="both"/>
        <w:rPr>
          <w:rFonts w:hint="eastAsia" w:eastAsiaTheme="majorEastAsia"/>
          <w:lang w:eastAsia="zh-CN"/>
        </w:rPr>
      </w:pPr>
      <w:r>
        <w:rPr>
          <w:rFonts w:hint="eastAsia" w:asciiTheme="majorEastAsia" w:hAnsiTheme="majorEastAsia" w:eastAsiaTheme="majorEastAsia" w:cstheme="majorEastAsia"/>
          <w:sz w:val="24"/>
          <w:szCs w:val="24"/>
          <w:highlight w:val="none"/>
          <w:shd w:val="clear" w:color="auto" w:fill="FFFFFF"/>
        </w:rPr>
        <w:t>2）财务状况报告：</w:t>
      </w:r>
      <w:r>
        <w:rPr>
          <w:rFonts w:hint="eastAsia" w:asciiTheme="majorEastAsia" w:hAnsiTheme="majorEastAsia" w:eastAsiaTheme="majorEastAsia" w:cstheme="majorEastAsia"/>
          <w:sz w:val="24"/>
          <w:szCs w:val="24"/>
          <w:highlight w:val="none"/>
          <w:shd w:val="clear" w:color="auto" w:fill="FFFFFF"/>
          <w:lang w:eastAsia="zh-CN"/>
        </w:rPr>
        <w:t>供应商须提供2024年度的财务审计报告（至少包括资产负债表和利润表，成立时间至提交响应文件截止时间不足一年的可提供成立后任意时段的资产负债表）或开标前六个月内其基本账户开户银行出具的资信证明。其他组织和自然人提供开标前六个月内银行出具的资信证明；</w:t>
      </w:r>
    </w:p>
    <w:p w14:paraId="57B3A9CC">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已缴存的至少六个月的社会保障资金缴存单据或社保机构开具的社会保险参保缴费情况证明，依法不需要缴纳社会保障资金的单位应提供相关证明材料；</w:t>
      </w:r>
    </w:p>
    <w:p w14:paraId="425CEFE4">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已缴存的至少六个月的纳税证明或完税证明，依法免税的单位应提供相关证明材料</w:t>
      </w:r>
      <w:r>
        <w:rPr>
          <w:rFonts w:hint="eastAsia" w:asciiTheme="majorEastAsia" w:hAnsiTheme="majorEastAsia" w:eastAsiaTheme="majorEastAsia" w:cstheme="majorEastAsia"/>
          <w:sz w:val="24"/>
          <w:szCs w:val="24"/>
          <w:highlight w:val="none"/>
          <w:shd w:val="clear" w:color="auto" w:fill="FFFFFF"/>
          <w:lang w:val="en-US" w:eastAsia="zh-CN"/>
        </w:rPr>
        <w:t>；</w:t>
      </w:r>
    </w:p>
    <w:p w14:paraId="15E3A4B9">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供应商未被列入“信用中国”网站(www.creditchina.gov.cn)“失信被执行人和重大税收违法失信主体；未被列入“中国政府采购网”(www.ccgp.gov.cn)“政府采购严重违法失信行为信息记录”</w:t>
      </w:r>
      <w:r>
        <w:rPr>
          <w:rFonts w:hint="eastAsia" w:asciiTheme="majorEastAsia" w:hAnsiTheme="majorEastAsia" w:eastAsiaTheme="majorEastAsia" w:cstheme="majorEastAsia"/>
          <w:sz w:val="24"/>
          <w:szCs w:val="24"/>
          <w:highlight w:val="none"/>
          <w:shd w:val="clear" w:color="auto" w:fill="FFFFFF"/>
        </w:rPr>
        <w:t>；</w:t>
      </w:r>
    </w:p>
    <w:p w14:paraId="262A8BE4">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46BE73A7">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513EC933">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法定代表人参加投标的，须出具本人身份证，并与营业执照上信息一致，授权代表参加投标的须出具法定代表人身份证明、授权代表身份证复印件及授权代表身份证原件。竞争性磋商文件中凡是需要法定代表人盖章（签字）之处，非法人单位的负责人均参照执行；</w:t>
      </w:r>
    </w:p>
    <w:p w14:paraId="2369028E">
      <w:pPr>
        <w:pStyle w:val="32"/>
        <w:widowControl/>
        <w:wordWrap w:val="0"/>
        <w:spacing w:line="560" w:lineRule="exact"/>
        <w:ind w:firstLine="480" w:firstLineChars="200"/>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7167A468">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p w14:paraId="02CFB3A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2-5-2、响应</w:t>
      </w:r>
      <w:r>
        <w:rPr>
          <w:rFonts w:hint="eastAsia" w:ascii="宋体" w:hAnsi="宋体" w:eastAsia="宋体" w:cs="宋体"/>
          <w:color w:val="000000" w:themeColor="text1"/>
          <w:szCs w:val="24"/>
          <w:highlight w:val="none"/>
          <w14:textFill>
            <w14:solidFill>
              <w14:schemeClr w14:val="tx1"/>
            </w14:solidFill>
          </w14:textFill>
        </w:rPr>
        <w:t>文件符合性审查</w:t>
      </w:r>
    </w:p>
    <w:p w14:paraId="0D59E523">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磋商小组对资格性审查合格的响应文件有效性、完整性和对竞争性磋商文件的响应程度进行审查，以确定其是否对竞争性磋商文件实质性内容作出响应（采购人可根据具体项目的情况对实质性要求作特别的具体规定）。符合性审查按下表进行：</w:t>
      </w:r>
    </w:p>
    <w:tbl>
      <w:tblPr>
        <w:tblStyle w:val="37"/>
        <w:tblW w:w="9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967"/>
        <w:gridCol w:w="2265"/>
        <w:gridCol w:w="5174"/>
      </w:tblGrid>
      <w:tr w14:paraId="053D4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73" w:type="dxa"/>
            <w:vAlign w:val="center"/>
          </w:tcPr>
          <w:p w14:paraId="1CAEEED6">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序号</w:t>
            </w:r>
          </w:p>
        </w:tc>
        <w:tc>
          <w:tcPr>
            <w:tcW w:w="3232" w:type="dxa"/>
            <w:gridSpan w:val="2"/>
            <w:vAlign w:val="center"/>
          </w:tcPr>
          <w:p w14:paraId="487D1D37">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审查因素</w:t>
            </w:r>
          </w:p>
        </w:tc>
        <w:tc>
          <w:tcPr>
            <w:tcW w:w="5174" w:type="dxa"/>
            <w:vAlign w:val="center"/>
          </w:tcPr>
          <w:p w14:paraId="410AA30B">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审查标准</w:t>
            </w:r>
          </w:p>
        </w:tc>
      </w:tr>
      <w:tr w14:paraId="7A85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773" w:type="dxa"/>
            <w:vMerge w:val="restart"/>
            <w:vAlign w:val="center"/>
          </w:tcPr>
          <w:p w14:paraId="5BA8E0D4">
            <w:pPr>
              <w:tabs>
                <w:tab w:val="left" w:pos="0"/>
              </w:tabs>
              <w:adjustRightInd w:val="0"/>
              <w:snapToGrid w:val="0"/>
              <w:spacing w:line="360" w:lineRule="auto"/>
              <w:jc w:val="center"/>
              <w:rPr>
                <w:rFonts w:ascii="宋体" w:hAnsi="宋体" w:eastAsia="宋体" w:cs="宋体"/>
                <w:szCs w:val="24"/>
                <w:highlight w:val="none"/>
              </w:rPr>
            </w:pPr>
            <w:r>
              <w:rPr>
                <w:rFonts w:hint="eastAsia" w:ascii="宋体" w:hAnsi="宋体" w:eastAsia="宋体" w:cs="宋体"/>
                <w:szCs w:val="24"/>
                <w:highlight w:val="none"/>
              </w:rPr>
              <w:t>1</w:t>
            </w:r>
          </w:p>
        </w:tc>
        <w:tc>
          <w:tcPr>
            <w:tcW w:w="967" w:type="dxa"/>
            <w:vMerge w:val="restart"/>
            <w:vAlign w:val="center"/>
          </w:tcPr>
          <w:p w14:paraId="15E4EBED">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有效性、完整性审查</w:t>
            </w:r>
          </w:p>
        </w:tc>
        <w:tc>
          <w:tcPr>
            <w:tcW w:w="2265" w:type="dxa"/>
            <w:vAlign w:val="center"/>
          </w:tcPr>
          <w:p w14:paraId="3E0025C5">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响应文件的签署、盖章</w:t>
            </w:r>
          </w:p>
        </w:tc>
        <w:tc>
          <w:tcPr>
            <w:tcW w:w="5174" w:type="dxa"/>
            <w:vAlign w:val="center"/>
          </w:tcPr>
          <w:p w14:paraId="79407EDF">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响应文件上法定代表人或其授权代理人的签字（或盖章）齐全，且单位盖章齐全，符合竞争性磋商文件要求。</w:t>
            </w:r>
          </w:p>
        </w:tc>
      </w:tr>
      <w:tr w14:paraId="79F5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773" w:type="dxa"/>
            <w:vMerge w:val="continue"/>
          </w:tcPr>
          <w:p w14:paraId="269B21F0">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514F5A7">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496A2B2">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响应文件格式</w:t>
            </w:r>
          </w:p>
        </w:tc>
        <w:tc>
          <w:tcPr>
            <w:tcW w:w="5174" w:type="dxa"/>
            <w:vAlign w:val="center"/>
          </w:tcPr>
          <w:p w14:paraId="274253F9">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符合竞争性磋商文件第五章“响应文件格式”要求</w:t>
            </w:r>
          </w:p>
        </w:tc>
      </w:tr>
      <w:tr w14:paraId="69C3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trPr>
        <w:tc>
          <w:tcPr>
            <w:tcW w:w="773" w:type="dxa"/>
            <w:vMerge w:val="continue"/>
          </w:tcPr>
          <w:p w14:paraId="23C7AACB">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4FA59808">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0C791C51">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响应文件递交</w:t>
            </w:r>
          </w:p>
        </w:tc>
        <w:tc>
          <w:tcPr>
            <w:tcW w:w="5174" w:type="dxa"/>
            <w:vAlign w:val="center"/>
          </w:tcPr>
          <w:p w14:paraId="6010DE89">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符合“供应商须知前附表”规定要求</w:t>
            </w:r>
          </w:p>
        </w:tc>
      </w:tr>
      <w:tr w14:paraId="6D61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773" w:type="dxa"/>
            <w:vMerge w:val="continue"/>
          </w:tcPr>
          <w:p w14:paraId="02EA9810">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2CEB7D13">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95525BF">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磋商报价</w:t>
            </w:r>
          </w:p>
        </w:tc>
        <w:tc>
          <w:tcPr>
            <w:tcW w:w="5174" w:type="dxa"/>
            <w:vAlign w:val="center"/>
          </w:tcPr>
          <w:p w14:paraId="2C14AED1">
            <w:pPr>
              <w:tabs>
                <w:tab w:val="left" w:pos="0"/>
              </w:tabs>
              <w:adjustRightInd w:val="0"/>
              <w:snapToGrid w:val="0"/>
              <w:rPr>
                <w:rFonts w:hint="eastAsia" w:ascii="宋体" w:hAnsi="宋体" w:eastAsia="宋体" w:cs="宋体"/>
                <w:szCs w:val="24"/>
                <w:highlight w:val="none"/>
                <w:lang w:val="en-US" w:eastAsia="zh-CN"/>
              </w:rPr>
            </w:pPr>
            <w:r>
              <w:rPr>
                <w:rFonts w:hint="eastAsia" w:ascii="宋体" w:hAnsi="宋体" w:eastAsia="宋体" w:cs="宋体"/>
                <w:szCs w:val="24"/>
                <w:highlight w:val="none"/>
              </w:rPr>
              <w:t>磋商报价未超过项目采购预算</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最高限价</w:t>
            </w:r>
            <w:r>
              <w:rPr>
                <w:rFonts w:hint="eastAsia" w:ascii="宋体" w:hAnsi="宋体" w:eastAsia="宋体" w:cs="宋体"/>
                <w:szCs w:val="24"/>
                <w:highlight w:val="none"/>
                <w:lang w:eastAsia="zh-CN"/>
              </w:rPr>
              <w:t>）</w:t>
            </w:r>
          </w:p>
        </w:tc>
      </w:tr>
      <w:tr w14:paraId="59EB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3" w:type="dxa"/>
            <w:vMerge w:val="continue"/>
          </w:tcPr>
          <w:p w14:paraId="0BD81D16">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155B4111">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8CB96E9">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响应文件内容</w:t>
            </w:r>
          </w:p>
        </w:tc>
        <w:tc>
          <w:tcPr>
            <w:tcW w:w="5174" w:type="dxa"/>
            <w:vAlign w:val="center"/>
          </w:tcPr>
          <w:p w14:paraId="59794BD5">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响应文件内容齐全完整、无遗漏</w:t>
            </w:r>
          </w:p>
        </w:tc>
      </w:tr>
      <w:tr w14:paraId="2738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trPr>
        <w:tc>
          <w:tcPr>
            <w:tcW w:w="773" w:type="dxa"/>
            <w:vMerge w:val="restart"/>
            <w:vAlign w:val="center"/>
          </w:tcPr>
          <w:p w14:paraId="260C7099">
            <w:pPr>
              <w:tabs>
                <w:tab w:val="left" w:pos="0"/>
              </w:tabs>
              <w:adjustRightInd w:val="0"/>
              <w:snapToGrid w:val="0"/>
              <w:spacing w:line="360" w:lineRule="auto"/>
              <w:jc w:val="center"/>
              <w:rPr>
                <w:rFonts w:ascii="宋体" w:hAnsi="宋体" w:eastAsia="宋体" w:cs="宋体"/>
                <w:szCs w:val="24"/>
                <w:highlight w:val="none"/>
              </w:rPr>
            </w:pPr>
            <w:r>
              <w:rPr>
                <w:rFonts w:hint="eastAsia" w:ascii="宋体" w:hAnsi="宋体" w:eastAsia="宋体" w:cs="宋体"/>
                <w:szCs w:val="24"/>
                <w:highlight w:val="none"/>
              </w:rPr>
              <w:t>2</w:t>
            </w:r>
          </w:p>
        </w:tc>
        <w:tc>
          <w:tcPr>
            <w:tcW w:w="967" w:type="dxa"/>
            <w:vMerge w:val="restart"/>
            <w:vAlign w:val="center"/>
          </w:tcPr>
          <w:p w14:paraId="07BB3EE6">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响应文件的响应程度审查</w:t>
            </w:r>
          </w:p>
        </w:tc>
        <w:tc>
          <w:tcPr>
            <w:tcW w:w="2265" w:type="dxa"/>
            <w:vAlign w:val="center"/>
          </w:tcPr>
          <w:p w14:paraId="35C3B6FE">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服务期限</w:t>
            </w:r>
          </w:p>
        </w:tc>
        <w:tc>
          <w:tcPr>
            <w:tcW w:w="5174" w:type="dxa"/>
            <w:vAlign w:val="center"/>
          </w:tcPr>
          <w:p w14:paraId="7722D1C4">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满足竞争性磋商文件要求的服务期限</w:t>
            </w:r>
          </w:p>
        </w:tc>
      </w:tr>
      <w:tr w14:paraId="3656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trPr>
        <w:tc>
          <w:tcPr>
            <w:tcW w:w="773" w:type="dxa"/>
            <w:vMerge w:val="continue"/>
          </w:tcPr>
          <w:p w14:paraId="1CA6A095">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C721C69">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46EF57ED">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质量标准</w:t>
            </w:r>
          </w:p>
        </w:tc>
        <w:tc>
          <w:tcPr>
            <w:tcW w:w="5174" w:type="dxa"/>
            <w:vAlign w:val="center"/>
          </w:tcPr>
          <w:p w14:paraId="26D14648">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满足竞争性磋商文件要求的质量标准</w:t>
            </w:r>
          </w:p>
        </w:tc>
      </w:tr>
      <w:tr w14:paraId="2ADF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exact"/>
        </w:trPr>
        <w:tc>
          <w:tcPr>
            <w:tcW w:w="773" w:type="dxa"/>
            <w:vMerge w:val="continue"/>
          </w:tcPr>
          <w:p w14:paraId="6CDA9D38">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4EF755B8">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700EF0F2">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lang w:bidi="ar"/>
              </w:rPr>
              <w:t>投标有效期</w:t>
            </w:r>
          </w:p>
        </w:tc>
        <w:tc>
          <w:tcPr>
            <w:tcW w:w="5174" w:type="dxa"/>
            <w:vAlign w:val="center"/>
          </w:tcPr>
          <w:p w14:paraId="6F156047">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lang w:bidi="ar"/>
              </w:rPr>
              <w:t>满足</w:t>
            </w:r>
            <w:r>
              <w:rPr>
                <w:rFonts w:hint="eastAsia" w:ascii="宋体" w:hAnsi="宋体" w:eastAsia="宋体" w:cs="宋体"/>
                <w:szCs w:val="24"/>
                <w:highlight w:val="none"/>
              </w:rPr>
              <w:t>竞争性磋商文件</w:t>
            </w:r>
            <w:r>
              <w:rPr>
                <w:rFonts w:hint="eastAsia" w:ascii="宋体" w:hAnsi="宋体" w:eastAsia="宋体" w:cs="宋体"/>
                <w:szCs w:val="24"/>
                <w:highlight w:val="none"/>
                <w:lang w:bidi="ar"/>
              </w:rPr>
              <w:t>规定的投标有效期</w:t>
            </w:r>
          </w:p>
        </w:tc>
      </w:tr>
      <w:tr w14:paraId="016D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exact"/>
        </w:trPr>
        <w:tc>
          <w:tcPr>
            <w:tcW w:w="773" w:type="dxa"/>
            <w:vMerge w:val="continue"/>
          </w:tcPr>
          <w:p w14:paraId="5F5D5AB4">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420D2A2">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353083EE">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磋商保证金</w:t>
            </w:r>
          </w:p>
        </w:tc>
        <w:tc>
          <w:tcPr>
            <w:tcW w:w="5174" w:type="dxa"/>
            <w:vAlign w:val="center"/>
          </w:tcPr>
          <w:p w14:paraId="3524D76B">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提交形式及金额符合竞争性磋商文件要求</w:t>
            </w:r>
          </w:p>
        </w:tc>
      </w:tr>
      <w:tr w14:paraId="1686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trPr>
        <w:tc>
          <w:tcPr>
            <w:tcW w:w="773" w:type="dxa"/>
            <w:vMerge w:val="continue"/>
          </w:tcPr>
          <w:p w14:paraId="068E1B16">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03E9DAAB">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3145A20B">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合同条款</w:t>
            </w:r>
          </w:p>
        </w:tc>
        <w:tc>
          <w:tcPr>
            <w:tcW w:w="5174" w:type="dxa"/>
            <w:vAlign w:val="center"/>
          </w:tcPr>
          <w:p w14:paraId="25CD5EB8">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完全理解并接受竞争性磋商文件合同条款的要求</w:t>
            </w:r>
          </w:p>
        </w:tc>
      </w:tr>
    </w:tbl>
    <w:p w14:paraId="402EDE30">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2-5-3、最后报价</w:t>
      </w:r>
    </w:p>
    <w:p w14:paraId="51597729">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1、磋商小组要求实质性响应的供应商在规定时间内提交最后报价，最后报价是供应商响应文件的有效组成部分。</w:t>
      </w:r>
    </w:p>
    <w:p w14:paraId="3BA1B3C3">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2、最后报价在磋商现场线上提交，各供应商在提交最后报价时应加盖供应商红色公章。</w:t>
      </w:r>
    </w:p>
    <w:p w14:paraId="3C0D2F70">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2-5-4、响应文件的澄清：</w:t>
      </w:r>
    </w:p>
    <w:p w14:paraId="0C1D6969">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在评标期间,对于响应文件中含义不明确、同类问题表述不一致或者有明显文字和计算错误的内容，磋商小组应当以书面形式要求供应商作出必要的澄清、说明或者补正。供应商的澄清、说明或者补正应当采用书面形式，并加盖公章，或者由法定代表人或被授权人签字。供应商的澄清、说明或者补正不得超出响应文件的范围或者改变响应文件的实质性内容。</w:t>
      </w:r>
    </w:p>
    <w:p w14:paraId="0FBF6AB1">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（2）书写错误的评审标准：</w:t>
      </w:r>
    </w:p>
    <w:p w14:paraId="7893A066">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磋商小组在评标过程中，发现响应文件出现下列情况之一者，按以下原则修正：</w:t>
      </w:r>
    </w:p>
    <w:p w14:paraId="5F213946">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w:t>
      </w:r>
      <w:r>
        <w:rPr>
          <w:rFonts w:hint="eastAsia" w:ascii="宋体" w:hAnsi="宋体" w:eastAsia="宋体" w:cs="宋体"/>
          <w:color w:val="000000" w:themeColor="text1"/>
          <w:szCs w:val="24"/>
          <w:highlight w:val="none"/>
          <w14:textFill>
            <w14:solidFill>
              <w14:schemeClr w14:val="tx1"/>
            </w14:solidFill>
          </w14:textFill>
        </w:rPr>
        <w:t>响应文件有关内容与“第一次磋商报价表”不一致的，以“第一次磋商报价表”为准</w:t>
      </w:r>
      <w:r>
        <w:rPr>
          <w:rFonts w:hint="eastAsia" w:ascii="宋体" w:hAnsi="宋体" w:eastAsia="宋体" w:cs="宋体"/>
          <w:color w:val="000000" w:themeColor="text1"/>
          <w:highlight w:val="none"/>
          <w14:textFill>
            <w14:solidFill>
              <w14:schemeClr w14:val="tx1"/>
            </w14:solidFill>
          </w14:textFill>
        </w:rPr>
        <w:t>；</w:t>
      </w:r>
    </w:p>
    <w:p w14:paraId="6D23F049">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b、</w:t>
      </w:r>
      <w:r>
        <w:rPr>
          <w:rFonts w:hint="eastAsia" w:ascii="宋体" w:hAnsi="宋体" w:eastAsia="宋体" w:cs="宋体"/>
          <w:color w:val="000000" w:themeColor="text1"/>
          <w:szCs w:val="24"/>
          <w:highlight w:val="none"/>
          <w14:textFill>
            <w14:solidFill>
              <w14:schemeClr w14:val="tx1"/>
            </w14:solidFill>
          </w14:textFill>
        </w:rPr>
        <w:t>大写金额与小写金额不一致的，以大写金额为准</w:t>
      </w:r>
      <w:r>
        <w:rPr>
          <w:rFonts w:hint="eastAsia" w:ascii="宋体" w:hAnsi="宋体" w:eastAsia="宋体" w:cs="宋体"/>
          <w:color w:val="000000" w:themeColor="text1"/>
          <w:highlight w:val="none"/>
          <w14:textFill>
            <w14:solidFill>
              <w14:schemeClr w14:val="tx1"/>
            </w14:solidFill>
          </w14:textFill>
        </w:rPr>
        <w:t>；</w:t>
      </w:r>
    </w:p>
    <w:p w14:paraId="03B496C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c、单价金额小数点或者百分比有明显错位的，以“第一次磋商报价表”的总价为准，并修改单价；</w:t>
      </w:r>
    </w:p>
    <w:p w14:paraId="4341DB1C">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d、总价金额与按</w:t>
      </w:r>
      <w:r>
        <w:rPr>
          <w:rFonts w:hint="eastAsia" w:ascii="宋体" w:hAnsi="宋体" w:eastAsia="宋体" w:cs="宋体"/>
          <w:color w:val="000000" w:themeColor="text1"/>
          <w:szCs w:val="24"/>
          <w:highlight w:val="none"/>
          <w14:textFill>
            <w14:solidFill>
              <w14:schemeClr w14:val="tx1"/>
            </w14:solidFill>
          </w14:textFill>
        </w:rPr>
        <w:t>单价汇总金额不一致的，以单价乘以数量的计算结果为准</w:t>
      </w:r>
      <w:r>
        <w:rPr>
          <w:rFonts w:hint="eastAsia" w:ascii="宋体" w:hAnsi="宋体" w:eastAsia="宋体" w:cs="宋体"/>
          <w:color w:val="000000" w:themeColor="text1"/>
          <w:highlight w:val="none"/>
          <w14:textFill>
            <w14:solidFill>
              <w14:schemeClr w14:val="tx1"/>
            </w14:solidFill>
          </w14:textFill>
        </w:rPr>
        <w:t>；</w:t>
      </w:r>
    </w:p>
    <w:p w14:paraId="44635BF1">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e、</w:t>
      </w:r>
      <w:r>
        <w:rPr>
          <w:rFonts w:hint="eastAsia" w:ascii="宋体" w:hAnsi="宋体" w:eastAsia="宋体" w:cs="宋体"/>
          <w:color w:val="000000" w:themeColor="text1"/>
          <w:szCs w:val="24"/>
          <w:highlight w:val="none"/>
          <w14:textFill>
            <w14:solidFill>
              <w14:schemeClr w14:val="tx1"/>
            </w14:solidFill>
          </w14:textFill>
        </w:rPr>
        <w:t>响应文件图表与文字不符时，以文字为准</w:t>
      </w:r>
      <w:r>
        <w:rPr>
          <w:rFonts w:hint="eastAsia" w:ascii="宋体" w:hAnsi="宋体" w:eastAsia="宋体" w:cs="宋体"/>
          <w:color w:val="000000" w:themeColor="text1"/>
          <w:highlight w:val="none"/>
          <w14:textFill>
            <w14:solidFill>
              <w14:schemeClr w14:val="tx1"/>
            </w14:solidFill>
          </w14:textFill>
        </w:rPr>
        <w:t>；</w:t>
      </w:r>
    </w:p>
    <w:p w14:paraId="536EC71E">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f、响应文件正本与副本不符时，以正本为准；</w:t>
      </w:r>
    </w:p>
    <w:p w14:paraId="7AEDE79E">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g、对不同文字文本响应文件的解释发生异议的，以中文文本为准；</w:t>
      </w:r>
    </w:p>
    <w:p w14:paraId="02246CE9">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h、</w:t>
      </w:r>
      <w:r>
        <w:rPr>
          <w:rFonts w:hint="eastAsia" w:ascii="宋体" w:hAnsi="宋体" w:eastAsia="宋体" w:cs="宋体"/>
          <w:color w:val="000000" w:themeColor="text1"/>
          <w:szCs w:val="24"/>
          <w:highlight w:val="none"/>
          <w14:textFill>
            <w14:solidFill>
              <w14:schemeClr w14:val="tx1"/>
            </w14:solidFill>
          </w14:textFill>
        </w:rPr>
        <w:t>多处内容交叉不符时，以</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评审结果为准。</w:t>
      </w:r>
    </w:p>
    <w:p w14:paraId="41FE8EE3">
      <w:pPr>
        <w:spacing w:line="560" w:lineRule="exact"/>
        <w:ind w:firstLine="482" w:firstLineChars="200"/>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注：按上述方法修正的内容（其中，同时出现上述a至d两种以上不一致的，按上述规定的顺序修正），经供应商确认后产生约束力，供应商不确认的，其投标无效。</w:t>
      </w:r>
    </w:p>
    <w:p w14:paraId="31F2B1C3">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磋商小组认为供应商的报价明显低于其他通过符合性审查供应商的报价，有可能影响产品/服务质量或者不能诚信履约的，应当要求其在评标现场合理的时间内提供书面说明，必要时提交相关证明材料；供应商不能证明其报价合理性的，磋商小组应当将其作为无效投标处理。</w:t>
      </w:r>
    </w:p>
    <w:p w14:paraId="3BE8C35A">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2-5-5、评价（详评）：</w:t>
      </w:r>
    </w:p>
    <w:p w14:paraId="7D25084D">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（1）磋商小组评审响应文件符合性只根据响应文件本身的内容，而不寻求其他外部证据。</w:t>
      </w:r>
    </w:p>
    <w:p w14:paraId="41BC6203">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评标采取逐项分步评审方式，每一步评审不符合者，不进入下一步评审，全部评审合格的供应商进行最后的综合评审和打分，按最后得分由高向低排序，推荐中标候选人。</w:t>
      </w:r>
    </w:p>
    <w:p w14:paraId="218733C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（3）其他需说明的情况：</w:t>
      </w:r>
    </w:p>
    <w:p w14:paraId="6CF33BF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a、对于响应文件中不构成实质性偏差的小的不正规、不一致或不规则，采购人可以接受，但这种接受不能损害或影响任何供应商的相对排序；</w:t>
      </w:r>
    </w:p>
    <w:p w14:paraId="5E7E692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b、最低报价不是中标的唯一条件；</w:t>
      </w:r>
    </w:p>
    <w:p w14:paraId="574990BC">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c、如果投标实质上没有响应竞争性磋商文件的要求，其投标将被拒绝，供应商不得通过修正或撤销不合要求的偏离或保留从而使其投标成为实质上响应的投标；</w:t>
      </w:r>
    </w:p>
    <w:p w14:paraId="132DE8F9">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d、</w:t>
      </w:r>
      <w:r>
        <w:rPr>
          <w:rFonts w:hint="eastAsia" w:ascii="宋体" w:hAnsi="宋体" w:eastAsia="宋体" w:cs="宋体"/>
          <w:color w:val="000000" w:themeColor="text1"/>
          <w:szCs w:val="24"/>
          <w:highlight w:val="none"/>
          <w14:textFill>
            <w14:solidFill>
              <w14:schemeClr w14:val="tx1"/>
            </w14:solidFill>
          </w14:textFill>
        </w:rPr>
        <w:t>无论投标的结果如何，投标期间一切费用自理。</w:t>
      </w:r>
    </w:p>
    <w:p w14:paraId="5C552DFE">
      <w:pPr>
        <w:spacing w:line="560" w:lineRule="exact"/>
        <w:ind w:firstLine="482" w:firstLineChars="200"/>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2-6、评分标准：</w:t>
      </w:r>
    </w:p>
    <w:tbl>
      <w:tblPr>
        <w:tblStyle w:val="37"/>
        <w:tblpPr w:leftFromText="180" w:rightFromText="180" w:vertAnchor="text" w:horzAnchor="page" w:tblpX="1622" w:tblpY="305"/>
        <w:tblOverlap w:val="never"/>
        <w:tblW w:w="50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870"/>
        <w:gridCol w:w="1022"/>
        <w:gridCol w:w="2026"/>
        <w:gridCol w:w="4476"/>
        <w:gridCol w:w="732"/>
      </w:tblGrid>
      <w:tr w14:paraId="6051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505" w:type="pct"/>
            <w:tcBorders>
              <w:top w:val="single" w:color="auto" w:sz="4" w:space="0"/>
              <w:left w:val="single" w:color="auto" w:sz="4" w:space="0"/>
              <w:bottom w:val="single" w:color="auto" w:sz="4" w:space="0"/>
              <w:right w:val="single" w:color="auto" w:sz="4" w:space="0"/>
            </w:tcBorders>
            <w:noWrap w:val="0"/>
            <w:vAlign w:val="center"/>
          </w:tcPr>
          <w:p w14:paraId="391F9279">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评标</w:t>
            </w:r>
          </w:p>
          <w:p w14:paraId="6B719058">
            <w:pPr>
              <w:spacing w:line="400" w:lineRule="exact"/>
              <w:jc w:val="center"/>
              <w:rPr>
                <w:rFonts w:ascii="宋体" w:hAnsi="宋体" w:eastAsia="宋体" w:cs="宋体"/>
                <w:b/>
                <w:bCs/>
                <w:color w:val="000000"/>
                <w:kern w:val="0"/>
                <w:szCs w:val="24"/>
                <w:highlight w:val="none"/>
              </w:rPr>
            </w:pPr>
            <w:r>
              <w:rPr>
                <w:rFonts w:hint="eastAsia" w:ascii="宋体" w:hAnsi="宋体" w:eastAsia="宋体" w:cs="宋体"/>
                <w:color w:val="000000"/>
                <w:szCs w:val="24"/>
                <w:highlight w:val="none"/>
              </w:rPr>
              <w:t>内容</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06DB6F94">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价格</w:t>
            </w:r>
          </w:p>
          <w:p w14:paraId="35F0285F">
            <w:pPr>
              <w:spacing w:line="400" w:lineRule="exact"/>
              <w:jc w:val="center"/>
              <w:rPr>
                <w:rFonts w:ascii="宋体" w:hAnsi="宋体" w:eastAsia="宋体" w:cs="宋体"/>
                <w:b/>
                <w:bCs/>
                <w:color w:val="000000"/>
                <w:szCs w:val="24"/>
                <w:highlight w:val="none"/>
              </w:rPr>
            </w:pPr>
            <w:r>
              <w:rPr>
                <w:rFonts w:hint="eastAsia" w:ascii="宋体" w:hAnsi="宋体" w:eastAsia="宋体" w:cs="宋体"/>
                <w:color w:val="000000"/>
                <w:szCs w:val="24"/>
                <w:highlight w:val="none"/>
              </w:rPr>
              <w:t>权值</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12D96828">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分值</w:t>
            </w:r>
          </w:p>
        </w:tc>
        <w:tc>
          <w:tcPr>
            <w:tcW w:w="997" w:type="pct"/>
            <w:tcBorders>
              <w:top w:val="single" w:color="auto" w:sz="4" w:space="0"/>
              <w:left w:val="single" w:color="auto" w:sz="4" w:space="0"/>
              <w:bottom w:val="single" w:color="auto" w:sz="4" w:space="0"/>
              <w:right w:val="single" w:color="auto" w:sz="4" w:space="0"/>
            </w:tcBorders>
            <w:noWrap w:val="0"/>
            <w:vAlign w:val="center"/>
          </w:tcPr>
          <w:p w14:paraId="4B3DDC41">
            <w:pPr>
              <w:spacing w:line="400" w:lineRule="exact"/>
              <w:jc w:val="center"/>
              <w:rPr>
                <w:rFonts w:ascii="宋体" w:hAnsi="宋体" w:eastAsia="宋体" w:cs="宋体"/>
                <w:b/>
                <w:bCs/>
                <w:color w:val="000000"/>
                <w:szCs w:val="24"/>
                <w:highlight w:val="none"/>
              </w:rPr>
            </w:pPr>
            <w:r>
              <w:rPr>
                <w:rFonts w:hint="eastAsia" w:ascii="宋体" w:hAnsi="宋体" w:eastAsia="宋体" w:cs="宋体"/>
                <w:color w:val="000000"/>
                <w:szCs w:val="24"/>
                <w:highlight w:val="none"/>
              </w:rPr>
              <w:t>评审明细</w:t>
            </w:r>
          </w:p>
        </w:tc>
        <w:tc>
          <w:tcPr>
            <w:tcW w:w="2204" w:type="pct"/>
            <w:tcBorders>
              <w:top w:val="single" w:color="auto" w:sz="4" w:space="0"/>
              <w:left w:val="single" w:color="auto" w:sz="4" w:space="0"/>
              <w:bottom w:val="single" w:color="auto" w:sz="4" w:space="0"/>
              <w:right w:val="single" w:color="auto" w:sz="4" w:space="0"/>
            </w:tcBorders>
            <w:noWrap w:val="0"/>
            <w:vAlign w:val="center"/>
          </w:tcPr>
          <w:p w14:paraId="21EABA09">
            <w:pPr>
              <w:spacing w:line="400" w:lineRule="exact"/>
              <w:jc w:val="center"/>
              <w:rPr>
                <w:rFonts w:ascii="宋体" w:hAnsi="宋体" w:eastAsia="宋体" w:cs="宋体"/>
                <w:b/>
                <w:bCs/>
                <w:color w:val="000000"/>
                <w:szCs w:val="24"/>
                <w:highlight w:val="none"/>
              </w:rPr>
            </w:pPr>
            <w:r>
              <w:rPr>
                <w:rFonts w:hint="eastAsia" w:ascii="宋体" w:hAnsi="宋体" w:eastAsia="宋体" w:cs="宋体"/>
                <w:color w:val="000000"/>
                <w:szCs w:val="24"/>
                <w:highlight w:val="none"/>
              </w:rPr>
              <w:t>评标原则与标准</w:t>
            </w:r>
          </w:p>
        </w:tc>
        <w:tc>
          <w:tcPr>
            <w:tcW w:w="360" w:type="pct"/>
            <w:vMerge w:val="restart"/>
            <w:tcBorders>
              <w:top w:val="single" w:color="auto" w:sz="4" w:space="0"/>
              <w:left w:val="single" w:color="auto" w:sz="4" w:space="0"/>
              <w:right w:val="single" w:color="auto" w:sz="4" w:space="0"/>
            </w:tcBorders>
            <w:noWrap w:val="0"/>
            <w:vAlign w:val="center"/>
          </w:tcPr>
          <w:p w14:paraId="742D6034">
            <w:pPr>
              <w:rPr>
                <w:rFonts w:ascii="宋体" w:hAnsi="宋体" w:eastAsia="宋体" w:cs="宋体"/>
                <w:color w:val="000000"/>
                <w:szCs w:val="24"/>
                <w:highlight w:val="none"/>
              </w:rPr>
            </w:pPr>
          </w:p>
          <w:p w14:paraId="1843ADDC">
            <w:pPr>
              <w:pStyle w:val="13"/>
              <w:rPr>
                <w:rFonts w:ascii="宋体" w:hAnsi="宋体" w:eastAsia="宋体" w:cs="宋体"/>
                <w:color w:val="000000"/>
                <w:szCs w:val="24"/>
                <w:highlight w:val="none"/>
              </w:rPr>
            </w:pPr>
          </w:p>
          <w:p w14:paraId="0C30E7A2">
            <w:pPr>
              <w:rPr>
                <w:rFonts w:ascii="宋体" w:hAnsi="宋体" w:eastAsia="宋体" w:cs="宋体"/>
                <w:color w:val="000000"/>
                <w:szCs w:val="24"/>
                <w:highlight w:val="none"/>
              </w:rPr>
            </w:pPr>
          </w:p>
          <w:p w14:paraId="33F1EBD5">
            <w:pPr>
              <w:pStyle w:val="13"/>
              <w:rPr>
                <w:rFonts w:ascii="宋体" w:hAnsi="宋体" w:eastAsia="宋体" w:cs="宋体"/>
                <w:color w:val="000000"/>
                <w:szCs w:val="24"/>
                <w:highlight w:val="none"/>
              </w:rPr>
            </w:pPr>
          </w:p>
          <w:p w14:paraId="1049FE63">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根</w:t>
            </w:r>
          </w:p>
          <w:p w14:paraId="1C1EDD7C">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据</w:t>
            </w:r>
          </w:p>
          <w:p w14:paraId="3D17A608">
            <w:pP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磋</w:t>
            </w:r>
          </w:p>
          <w:p w14:paraId="73341FD3">
            <w:pP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商</w:t>
            </w:r>
          </w:p>
          <w:p w14:paraId="5C8CA701">
            <w:pP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响</w:t>
            </w:r>
          </w:p>
          <w:p w14:paraId="60D3AAA3">
            <w:pP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应</w:t>
            </w:r>
          </w:p>
          <w:p w14:paraId="3BC7A254">
            <w:pPr>
              <w:rPr>
                <w:rFonts w:ascii="宋体" w:hAnsi="宋体" w:eastAsia="宋体" w:cs="宋体"/>
                <w:color w:val="000000"/>
                <w:szCs w:val="24"/>
                <w:highlight w:val="none"/>
              </w:rPr>
            </w:pPr>
            <w:r>
              <w:rPr>
                <w:rFonts w:hint="eastAsia" w:ascii="宋体" w:hAnsi="宋体" w:eastAsia="宋体" w:cs="宋体"/>
                <w:color w:val="000000"/>
                <w:szCs w:val="24"/>
                <w:highlight w:val="none"/>
              </w:rPr>
              <w:t>文</w:t>
            </w:r>
          </w:p>
          <w:p w14:paraId="6FEC5108">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件</w:t>
            </w:r>
          </w:p>
          <w:p w14:paraId="47C1AAAB">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的</w:t>
            </w:r>
          </w:p>
          <w:p w14:paraId="0EA35675">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响</w:t>
            </w:r>
          </w:p>
          <w:p w14:paraId="637404F9">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应</w:t>
            </w:r>
          </w:p>
          <w:p w14:paraId="73D52D18">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程 度</w:t>
            </w:r>
          </w:p>
          <w:p w14:paraId="1843B0B3">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按</w:t>
            </w:r>
          </w:p>
          <w:p w14:paraId="33D802A7">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差</w:t>
            </w:r>
          </w:p>
          <w:p w14:paraId="4F6FA5A1">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别</w:t>
            </w:r>
          </w:p>
          <w:p w14:paraId="0A699BEA">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计</w:t>
            </w:r>
          </w:p>
          <w:p w14:paraId="4CDCA84E">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分</w:t>
            </w:r>
          </w:p>
        </w:tc>
      </w:tr>
      <w:tr w14:paraId="0AEF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 w:type="pct"/>
            <w:tcBorders>
              <w:top w:val="single" w:color="auto" w:sz="4" w:space="0"/>
              <w:left w:val="single" w:color="auto" w:sz="4" w:space="0"/>
              <w:bottom w:val="single" w:color="auto" w:sz="4" w:space="0"/>
              <w:right w:val="single" w:color="auto" w:sz="4" w:space="0"/>
            </w:tcBorders>
            <w:noWrap w:val="0"/>
            <w:vAlign w:val="center"/>
          </w:tcPr>
          <w:p w14:paraId="50059042">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报价评审</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4FE5524D">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10%</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01AF7BDB">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10分</w:t>
            </w:r>
          </w:p>
        </w:tc>
        <w:tc>
          <w:tcPr>
            <w:tcW w:w="997" w:type="pct"/>
            <w:tcBorders>
              <w:top w:val="single" w:color="auto" w:sz="4" w:space="0"/>
              <w:left w:val="single" w:color="auto" w:sz="4" w:space="0"/>
              <w:bottom w:val="single" w:color="auto" w:sz="4" w:space="0"/>
              <w:right w:val="single" w:color="auto" w:sz="4" w:space="0"/>
            </w:tcBorders>
            <w:noWrap w:val="0"/>
            <w:vAlign w:val="center"/>
          </w:tcPr>
          <w:p w14:paraId="7301DC34">
            <w:pPr>
              <w:spacing w:line="400" w:lineRule="exact"/>
              <w:jc w:val="cente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报价</w:t>
            </w:r>
          </w:p>
          <w:p w14:paraId="63FE3A0D">
            <w:pPr>
              <w:spacing w:line="400" w:lineRule="exact"/>
              <w:jc w:val="center"/>
              <w:rPr>
                <w:rFonts w:hint="eastAsia" w:ascii="宋体" w:hAnsi="宋体" w:eastAsia="宋体" w:cs="宋体"/>
                <w:color w:val="000000"/>
                <w:szCs w:val="24"/>
                <w:highlight w:val="none"/>
              </w:rPr>
            </w:pPr>
          </w:p>
        </w:tc>
        <w:tc>
          <w:tcPr>
            <w:tcW w:w="2204" w:type="pct"/>
            <w:tcBorders>
              <w:top w:val="single" w:color="auto" w:sz="4" w:space="0"/>
              <w:left w:val="single" w:color="auto" w:sz="4" w:space="0"/>
              <w:bottom w:val="single" w:color="auto" w:sz="4" w:space="0"/>
              <w:right w:val="single" w:color="auto" w:sz="4" w:space="0"/>
            </w:tcBorders>
            <w:noWrap w:val="0"/>
            <w:vAlign w:val="center"/>
          </w:tcPr>
          <w:p w14:paraId="5360EFEC">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按照《中华人民共和国政府采购法》及《中华人民共和国政府采购法实施条例》的有关规定：价格分采用低价优先法计算，即满足竞争性磋商文件要求且最后报价最低的供应商的价格为磋商基准价，其价格分为满分。其他供应商的价格分统一按照下列公式计算：</w:t>
            </w:r>
          </w:p>
          <w:p w14:paraId="551AD98D">
            <w:pPr>
              <w:spacing w:line="400" w:lineRule="exact"/>
              <w:rPr>
                <w:rFonts w:hint="eastAsia" w:ascii="宋体" w:hAnsi="宋体" w:eastAsia="宋体" w:cs="宋体"/>
                <w:color w:val="000000"/>
                <w:szCs w:val="24"/>
                <w:highlight w:val="none"/>
                <w:shd w:val="clear" w:color="auto" w:fill="auto"/>
              </w:rPr>
            </w:pPr>
            <w:r>
              <w:rPr>
                <w:rFonts w:hint="eastAsia" w:ascii="宋体" w:hAnsi="宋体" w:eastAsia="宋体" w:cs="宋体"/>
                <w:color w:val="000000"/>
                <w:szCs w:val="24"/>
                <w:highlight w:val="none"/>
              </w:rPr>
              <w:t>磋商报价得分=（磋商基准价/最终磋商报价）</w:t>
            </w:r>
            <w:r>
              <w:rPr>
                <w:rFonts w:hint="eastAsia" w:ascii="宋体" w:hAnsi="宋体" w:eastAsia="宋体" w:cs="宋体"/>
                <w:color w:val="000000"/>
                <w:szCs w:val="24"/>
                <w:highlight w:val="none"/>
                <w:shd w:val="clear" w:color="auto" w:fill="auto"/>
              </w:rPr>
              <w:t>×价格权值（即10%）×100</w:t>
            </w:r>
          </w:p>
          <w:p w14:paraId="3B8C74D7">
            <w:pPr>
              <w:spacing w:line="400" w:lineRule="exact"/>
              <w:rPr>
                <w:rFonts w:hint="eastAsia" w:ascii="宋体" w:hAnsi="宋体" w:eastAsia="宋体" w:cs="宋体"/>
                <w:color w:val="000000"/>
                <w:szCs w:val="24"/>
                <w:highlight w:val="none"/>
                <w:shd w:val="clear" w:color="auto" w:fill="auto"/>
              </w:rPr>
            </w:pPr>
            <w:r>
              <w:rPr>
                <w:rFonts w:hint="eastAsia" w:ascii="宋体" w:hAnsi="宋体" w:eastAsia="宋体" w:cs="宋体"/>
                <w:color w:val="000000"/>
                <w:szCs w:val="24"/>
                <w:highlight w:val="none"/>
                <w:lang w:val="en-US" w:eastAsia="zh-CN"/>
              </w:rPr>
              <w:t>备注：</w:t>
            </w:r>
            <w:r>
              <w:rPr>
                <w:rFonts w:hint="eastAsia" w:ascii="宋体" w:hAnsi="宋体" w:eastAsia="宋体" w:cs="宋体"/>
                <w:color w:val="000000"/>
                <w:szCs w:val="24"/>
                <w:highlight w:val="none"/>
              </w:rPr>
              <w:t>因落实政府采购政策进行价格调整的，以调整后的价格计算评标基准价和</w:t>
            </w:r>
            <w:r>
              <w:rPr>
                <w:rFonts w:hint="eastAsia" w:ascii="宋体" w:hAnsi="宋体" w:eastAsia="宋体" w:cs="宋体"/>
                <w:color w:val="000000"/>
                <w:szCs w:val="24"/>
                <w:highlight w:val="none"/>
                <w:lang w:val="en-US" w:eastAsia="zh-CN"/>
              </w:rPr>
              <w:t>投标</w:t>
            </w:r>
            <w:r>
              <w:rPr>
                <w:rFonts w:hint="eastAsia" w:ascii="宋体" w:hAnsi="宋体" w:eastAsia="宋体" w:cs="宋体"/>
                <w:color w:val="000000"/>
                <w:szCs w:val="24"/>
                <w:highlight w:val="none"/>
              </w:rPr>
              <w:t>报价。</w:t>
            </w:r>
          </w:p>
        </w:tc>
        <w:tc>
          <w:tcPr>
            <w:tcW w:w="360" w:type="pct"/>
            <w:vMerge w:val="continue"/>
            <w:tcBorders>
              <w:left w:val="single" w:color="auto" w:sz="4" w:space="0"/>
              <w:right w:val="single" w:color="auto" w:sz="4" w:space="0"/>
            </w:tcBorders>
            <w:noWrap w:val="0"/>
            <w:vAlign w:val="center"/>
          </w:tcPr>
          <w:p w14:paraId="2064E394">
            <w:pPr>
              <w:widowControl/>
              <w:jc w:val="left"/>
              <w:rPr>
                <w:rFonts w:ascii="宋体" w:hAnsi="宋体" w:eastAsia="宋体" w:cs="宋体"/>
                <w:color w:val="000000"/>
                <w:szCs w:val="24"/>
                <w:highlight w:val="none"/>
              </w:rPr>
            </w:pPr>
          </w:p>
        </w:tc>
      </w:tr>
      <w:tr w14:paraId="16D3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 w:type="pct"/>
            <w:vMerge w:val="restart"/>
            <w:tcBorders>
              <w:top w:val="single" w:color="auto" w:sz="4" w:space="0"/>
              <w:left w:val="single" w:color="auto" w:sz="4" w:space="0"/>
              <w:right w:val="single" w:color="auto" w:sz="4" w:space="0"/>
            </w:tcBorders>
            <w:noWrap w:val="0"/>
            <w:vAlign w:val="center"/>
          </w:tcPr>
          <w:p w14:paraId="0A086812">
            <w:pPr>
              <w:spacing w:line="400" w:lineRule="exact"/>
              <w:jc w:val="center"/>
              <w:rPr>
                <w:rFonts w:hint="eastAsia" w:ascii="宋体" w:hAnsi="宋体" w:eastAsia="宋体" w:cs="宋体"/>
                <w:color w:val="000000"/>
                <w:szCs w:val="24"/>
                <w:highlight w:val="none"/>
                <w:lang w:eastAsia="zh-CN"/>
              </w:rPr>
            </w:pPr>
            <w:r>
              <w:rPr>
                <w:rFonts w:hint="eastAsia" w:ascii="宋体" w:hAnsi="宋体" w:eastAsia="宋体" w:cs="宋体"/>
                <w:color w:val="000000"/>
                <w:szCs w:val="24"/>
                <w:highlight w:val="none"/>
                <w:lang w:eastAsia="zh-CN"/>
              </w:rPr>
              <w:t>服务</w:t>
            </w:r>
          </w:p>
          <w:p w14:paraId="7FD3D38B">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eastAsia="zh-CN"/>
              </w:rPr>
              <w:t>方案</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6D4A9C22">
            <w:pPr>
              <w:spacing w:line="48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20%</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2EA422EF">
            <w:pPr>
              <w:spacing w:line="48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20分</w:t>
            </w:r>
          </w:p>
        </w:tc>
        <w:tc>
          <w:tcPr>
            <w:tcW w:w="997" w:type="pct"/>
            <w:tcBorders>
              <w:top w:val="single" w:color="auto" w:sz="4" w:space="0"/>
              <w:left w:val="single" w:color="auto" w:sz="4" w:space="0"/>
              <w:bottom w:val="single" w:color="auto" w:sz="4" w:space="0"/>
              <w:right w:val="single" w:color="auto" w:sz="4" w:space="0"/>
            </w:tcBorders>
            <w:noWrap w:val="0"/>
            <w:vAlign w:val="center"/>
          </w:tcPr>
          <w:p w14:paraId="1AD904AB">
            <w:pPr>
              <w:spacing w:line="40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生活照料和护理类服务方案</w:t>
            </w:r>
          </w:p>
        </w:tc>
        <w:tc>
          <w:tcPr>
            <w:tcW w:w="2204" w:type="pct"/>
            <w:tcBorders>
              <w:top w:val="single" w:color="auto" w:sz="4" w:space="0"/>
              <w:left w:val="single" w:color="auto" w:sz="4" w:space="0"/>
              <w:bottom w:val="single" w:color="auto" w:sz="4" w:space="0"/>
              <w:right w:val="single" w:color="auto" w:sz="4" w:space="0"/>
            </w:tcBorders>
            <w:noWrap w:val="0"/>
            <w:vAlign w:val="center"/>
          </w:tcPr>
          <w:p w14:paraId="21901575">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服务方案总体构想科学合理，描述清晰，且能针对性满足项目需求的得12.1-20分；</w:t>
            </w:r>
          </w:p>
          <w:p w14:paraId="13BFF786">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服务方案总体构想合理，但陈述简单，缺乏针对性的得5.1</w:t>
            </w:r>
            <w:r>
              <w:rPr>
                <w:rFonts w:hint="default" w:ascii="宋体" w:hAnsi="宋体" w:eastAsia="宋体" w:cs="宋体"/>
                <w:color w:val="auto"/>
                <w:spacing w:val="-1"/>
                <w:sz w:val="24"/>
                <w:szCs w:val="24"/>
                <w:highlight w:val="none"/>
                <w:lang w:val="en-US" w:eastAsia="zh-CN"/>
              </w:rPr>
              <w:t>-</w:t>
            </w:r>
            <w:r>
              <w:rPr>
                <w:rFonts w:hint="eastAsia" w:ascii="宋体" w:hAnsi="宋体" w:eastAsia="宋体" w:cs="宋体"/>
                <w:color w:val="auto"/>
                <w:spacing w:val="-1"/>
                <w:sz w:val="24"/>
                <w:szCs w:val="24"/>
                <w:highlight w:val="none"/>
                <w:lang w:val="en-US" w:eastAsia="zh-CN"/>
              </w:rPr>
              <w:t>12分；</w:t>
            </w:r>
          </w:p>
          <w:p w14:paraId="5C2D4C79">
            <w:pPr>
              <w:numPr>
                <w:ilvl w:val="0"/>
                <w:numId w:val="0"/>
              </w:numPr>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auto"/>
                <w:spacing w:val="-1"/>
                <w:sz w:val="24"/>
                <w:szCs w:val="24"/>
                <w:highlight w:val="none"/>
                <w:lang w:val="en-US" w:eastAsia="zh-CN"/>
              </w:rPr>
              <w:t>服务方案总体构想笼统得</w:t>
            </w:r>
            <w:r>
              <w:rPr>
                <w:rFonts w:hint="default" w:ascii="宋体" w:hAnsi="宋体" w:eastAsia="宋体" w:cs="宋体"/>
                <w:color w:val="auto"/>
                <w:spacing w:val="-1"/>
                <w:sz w:val="24"/>
                <w:szCs w:val="24"/>
                <w:highlight w:val="none"/>
                <w:lang w:val="en-US" w:eastAsia="zh-CN"/>
              </w:rPr>
              <w:t>0-</w:t>
            </w:r>
            <w:r>
              <w:rPr>
                <w:rFonts w:hint="eastAsia" w:ascii="宋体" w:hAnsi="宋体" w:eastAsia="宋体" w:cs="宋体"/>
                <w:color w:val="auto"/>
                <w:spacing w:val="-1"/>
                <w:sz w:val="24"/>
                <w:szCs w:val="24"/>
                <w:highlight w:val="none"/>
                <w:lang w:val="en-US" w:eastAsia="zh-CN"/>
              </w:rPr>
              <w:t>5分。</w:t>
            </w:r>
          </w:p>
        </w:tc>
        <w:tc>
          <w:tcPr>
            <w:tcW w:w="360" w:type="pct"/>
            <w:vMerge w:val="continue"/>
            <w:tcBorders>
              <w:left w:val="single" w:color="auto" w:sz="4" w:space="0"/>
              <w:right w:val="single" w:color="auto" w:sz="4" w:space="0"/>
            </w:tcBorders>
            <w:noWrap w:val="0"/>
            <w:vAlign w:val="center"/>
          </w:tcPr>
          <w:p w14:paraId="486D8B01">
            <w:pPr>
              <w:widowControl/>
              <w:jc w:val="left"/>
              <w:rPr>
                <w:rFonts w:ascii="宋体" w:hAnsi="宋体" w:eastAsia="宋体" w:cs="宋体"/>
                <w:color w:val="000000"/>
                <w:szCs w:val="24"/>
                <w:highlight w:val="none"/>
              </w:rPr>
            </w:pPr>
          </w:p>
        </w:tc>
      </w:tr>
      <w:tr w14:paraId="7437F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505" w:type="pct"/>
            <w:vMerge w:val="continue"/>
            <w:tcBorders>
              <w:left w:val="single" w:color="auto" w:sz="4" w:space="0"/>
              <w:right w:val="single" w:color="auto" w:sz="4" w:space="0"/>
            </w:tcBorders>
            <w:noWrap w:val="0"/>
            <w:vAlign w:val="center"/>
          </w:tcPr>
          <w:p w14:paraId="4E4ACB92">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right w:val="single" w:color="auto" w:sz="4" w:space="0"/>
            </w:tcBorders>
            <w:noWrap w:val="0"/>
            <w:vAlign w:val="center"/>
          </w:tcPr>
          <w:p w14:paraId="770EA1AD">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1</w:t>
            </w:r>
            <w:r>
              <w:rPr>
                <w:rFonts w:hint="eastAsia" w:ascii="宋体" w:hAnsi="宋体" w:eastAsia="宋体" w:cs="宋体"/>
                <w:color w:val="000000"/>
                <w:szCs w:val="24"/>
                <w:highlight w:val="none"/>
                <w:lang w:val="en-US" w:eastAsia="zh-CN"/>
              </w:rPr>
              <w:t>0</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right w:val="single" w:color="auto" w:sz="4" w:space="0"/>
            </w:tcBorders>
            <w:noWrap w:val="0"/>
            <w:vAlign w:val="center"/>
          </w:tcPr>
          <w:p w14:paraId="41E34BB0">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1</w:t>
            </w:r>
            <w:r>
              <w:rPr>
                <w:rFonts w:hint="eastAsia" w:ascii="宋体" w:hAnsi="宋体" w:eastAsia="宋体" w:cs="宋体"/>
                <w:color w:val="000000"/>
                <w:szCs w:val="24"/>
                <w:highlight w:val="none"/>
                <w:lang w:val="en-US" w:eastAsia="zh-CN"/>
              </w:rPr>
              <w:t>0</w:t>
            </w:r>
            <w:r>
              <w:rPr>
                <w:rFonts w:hint="eastAsia" w:ascii="宋体" w:hAnsi="宋体" w:eastAsia="宋体" w:cs="宋体"/>
                <w:color w:val="000000"/>
                <w:szCs w:val="24"/>
                <w:highlight w:val="none"/>
              </w:rPr>
              <w:t>分</w:t>
            </w:r>
          </w:p>
        </w:tc>
        <w:tc>
          <w:tcPr>
            <w:tcW w:w="997" w:type="pct"/>
            <w:tcBorders>
              <w:top w:val="single" w:color="auto" w:sz="4" w:space="0"/>
              <w:left w:val="single" w:color="auto" w:sz="4" w:space="0"/>
              <w:right w:val="single" w:color="auto" w:sz="4" w:space="0"/>
            </w:tcBorders>
            <w:noWrap w:val="0"/>
            <w:vAlign w:val="center"/>
          </w:tcPr>
          <w:p w14:paraId="1CAA8469">
            <w:pPr>
              <w:spacing w:line="400" w:lineRule="exact"/>
              <w:jc w:val="center"/>
              <w:rPr>
                <w:rFonts w:hint="eastAsia" w:ascii="宋体" w:hAnsi="宋体" w:eastAsia="宋体" w:cs="宋体"/>
                <w:color w:val="000000"/>
                <w:szCs w:val="24"/>
                <w:highlight w:val="none"/>
                <w:lang w:eastAsia="zh-CN"/>
              </w:rPr>
            </w:pPr>
            <w:r>
              <w:rPr>
                <w:rFonts w:hint="eastAsia" w:ascii="宋体" w:hAnsi="宋体" w:eastAsia="宋体" w:cs="宋体"/>
                <w:b w:val="0"/>
                <w:bCs w:val="0"/>
                <w:color w:val="auto"/>
                <w:spacing w:val="-1"/>
                <w:sz w:val="24"/>
                <w:szCs w:val="24"/>
                <w:highlight w:val="none"/>
                <w:lang w:val="en-US" w:eastAsia="zh-CN"/>
              </w:rPr>
              <w:t>安全保证措施</w:t>
            </w:r>
          </w:p>
        </w:tc>
        <w:tc>
          <w:tcPr>
            <w:tcW w:w="2204" w:type="pct"/>
            <w:tcBorders>
              <w:top w:val="single" w:color="auto" w:sz="4" w:space="0"/>
              <w:left w:val="single" w:color="auto" w:sz="4" w:space="0"/>
              <w:bottom w:val="single" w:color="auto" w:sz="4" w:space="0"/>
              <w:right w:val="single" w:color="auto" w:sz="4" w:space="0"/>
            </w:tcBorders>
            <w:noWrap w:val="0"/>
            <w:vAlign w:val="center"/>
          </w:tcPr>
          <w:p w14:paraId="7AAD53DE">
            <w:pPr>
              <w:spacing w:line="320" w:lineRule="exact"/>
              <w:rPr>
                <w:rFonts w:hint="eastAsia" w:eastAsia="宋体"/>
                <w:highlight w:val="none"/>
                <w:lang w:val="en-US" w:eastAsia="zh-CN"/>
              </w:rPr>
            </w:pPr>
            <w:r>
              <w:rPr>
                <w:rFonts w:hint="eastAsia" w:eastAsia="宋体"/>
                <w:highlight w:val="none"/>
                <w:lang w:val="en-US" w:eastAsia="zh-CN"/>
              </w:rPr>
              <w:t>针对服务对象的特殊性提供服务安全保证措施，科学合理，描述清晰，且能针对性满足项目需求的得6.1-10分；</w:t>
            </w:r>
          </w:p>
          <w:p w14:paraId="66C3EE03">
            <w:pPr>
              <w:spacing w:line="320" w:lineRule="exact"/>
              <w:rPr>
                <w:rFonts w:hint="eastAsia" w:eastAsia="宋体"/>
                <w:highlight w:val="none"/>
                <w:lang w:val="en-US" w:eastAsia="zh-CN"/>
              </w:rPr>
            </w:pPr>
            <w:r>
              <w:rPr>
                <w:rFonts w:hint="eastAsia" w:eastAsia="宋体"/>
                <w:highlight w:val="none"/>
                <w:lang w:val="en-US" w:eastAsia="zh-CN"/>
              </w:rPr>
              <w:t xml:space="preserve">安全保证措施合理，但陈述简单，缺乏针对性的得3.1-6分； </w:t>
            </w:r>
          </w:p>
          <w:p w14:paraId="308FAAE7">
            <w:pPr>
              <w:spacing w:line="320" w:lineRule="exact"/>
              <w:rPr>
                <w:rFonts w:hint="eastAsia" w:eastAsia="宋体"/>
                <w:highlight w:val="none"/>
                <w:lang w:val="en-US" w:eastAsia="zh-CN"/>
              </w:rPr>
            </w:pPr>
            <w:r>
              <w:rPr>
                <w:rFonts w:hint="eastAsia" w:eastAsia="宋体"/>
                <w:highlight w:val="none"/>
                <w:lang w:val="en-US" w:eastAsia="zh-CN"/>
              </w:rPr>
              <w:t>安全保证措施笼统的得0-3分。</w:t>
            </w:r>
          </w:p>
        </w:tc>
        <w:tc>
          <w:tcPr>
            <w:tcW w:w="360" w:type="pct"/>
            <w:vMerge w:val="continue"/>
            <w:tcBorders>
              <w:left w:val="single" w:color="auto" w:sz="4" w:space="0"/>
              <w:right w:val="single" w:color="auto" w:sz="4" w:space="0"/>
            </w:tcBorders>
            <w:noWrap w:val="0"/>
            <w:vAlign w:val="center"/>
          </w:tcPr>
          <w:p w14:paraId="11162168">
            <w:pPr>
              <w:widowControl/>
              <w:jc w:val="center"/>
              <w:rPr>
                <w:rFonts w:ascii="宋体" w:hAnsi="宋体" w:eastAsia="宋体" w:cs="宋体"/>
                <w:color w:val="000000"/>
                <w:szCs w:val="24"/>
                <w:highlight w:val="none"/>
              </w:rPr>
            </w:pPr>
          </w:p>
        </w:tc>
      </w:tr>
      <w:tr w14:paraId="2E07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05" w:type="pct"/>
            <w:vMerge w:val="continue"/>
            <w:tcBorders>
              <w:left w:val="single" w:color="auto" w:sz="4" w:space="0"/>
              <w:right w:val="single" w:color="auto" w:sz="4" w:space="0"/>
            </w:tcBorders>
            <w:noWrap w:val="0"/>
            <w:vAlign w:val="center"/>
          </w:tcPr>
          <w:p w14:paraId="05D0708B">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right w:val="single" w:color="auto" w:sz="4" w:space="0"/>
            </w:tcBorders>
            <w:noWrap w:val="0"/>
            <w:vAlign w:val="center"/>
          </w:tcPr>
          <w:p w14:paraId="17B7C45D">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15</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right w:val="single" w:color="auto" w:sz="4" w:space="0"/>
            </w:tcBorders>
            <w:noWrap w:val="0"/>
            <w:vAlign w:val="center"/>
          </w:tcPr>
          <w:p w14:paraId="58C61B07">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15</w:t>
            </w:r>
            <w:r>
              <w:rPr>
                <w:rFonts w:hint="eastAsia" w:ascii="宋体" w:hAnsi="宋体" w:eastAsia="宋体" w:cs="宋体"/>
                <w:color w:val="000000"/>
                <w:szCs w:val="24"/>
                <w:highlight w:val="none"/>
              </w:rPr>
              <w:t>分</w:t>
            </w:r>
          </w:p>
        </w:tc>
        <w:tc>
          <w:tcPr>
            <w:tcW w:w="997" w:type="pct"/>
            <w:tcBorders>
              <w:top w:val="single" w:color="auto" w:sz="4" w:space="0"/>
              <w:left w:val="single" w:color="auto" w:sz="4" w:space="0"/>
              <w:right w:val="single" w:color="auto" w:sz="4" w:space="0"/>
            </w:tcBorders>
            <w:noWrap w:val="0"/>
            <w:vAlign w:val="top"/>
          </w:tcPr>
          <w:p w14:paraId="7C037DD3">
            <w:pPr>
              <w:spacing w:line="400" w:lineRule="exact"/>
              <w:jc w:val="both"/>
              <w:rPr>
                <w:rFonts w:hint="eastAsia" w:ascii="宋体" w:hAnsi="宋体" w:eastAsia="宋体" w:cs="宋体"/>
                <w:color w:val="000000"/>
                <w:szCs w:val="24"/>
                <w:highlight w:val="none"/>
                <w:lang w:val="en-US" w:eastAsia="zh-CN"/>
              </w:rPr>
            </w:pPr>
          </w:p>
          <w:p w14:paraId="50414460">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服务质量保证措施</w:t>
            </w:r>
          </w:p>
        </w:tc>
        <w:tc>
          <w:tcPr>
            <w:tcW w:w="2204" w:type="pct"/>
            <w:tcBorders>
              <w:top w:val="single" w:color="auto" w:sz="4" w:space="0"/>
              <w:left w:val="single" w:color="auto" w:sz="4" w:space="0"/>
              <w:bottom w:val="single" w:color="auto" w:sz="4" w:space="0"/>
              <w:right w:val="single" w:color="auto" w:sz="4" w:space="0"/>
            </w:tcBorders>
            <w:noWrap w:val="0"/>
            <w:vAlign w:val="top"/>
          </w:tcPr>
          <w:p w14:paraId="02382E79">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服务质量保证措施科学合理，描述清晰，且能针对性满足项目需求10.1-15分；</w:t>
            </w:r>
          </w:p>
          <w:p w14:paraId="0F3D92EF">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质量保证措施合理，但陈述简单，缺乏针对性的得5.1</w:t>
            </w:r>
            <w:r>
              <w:rPr>
                <w:rFonts w:hint="default" w:ascii="宋体" w:hAnsi="宋体" w:eastAsia="宋体" w:cs="宋体"/>
                <w:color w:val="auto"/>
                <w:spacing w:val="-1"/>
                <w:sz w:val="24"/>
                <w:szCs w:val="24"/>
                <w:highlight w:val="none"/>
                <w:lang w:val="en-US" w:eastAsia="zh-CN"/>
              </w:rPr>
              <w:t>-</w:t>
            </w:r>
            <w:r>
              <w:rPr>
                <w:rFonts w:hint="eastAsia" w:ascii="宋体" w:hAnsi="宋体" w:eastAsia="宋体" w:cs="宋体"/>
                <w:color w:val="auto"/>
                <w:spacing w:val="-1"/>
                <w:sz w:val="24"/>
                <w:szCs w:val="24"/>
                <w:highlight w:val="none"/>
                <w:lang w:val="en-US" w:eastAsia="zh-CN"/>
              </w:rPr>
              <w:t xml:space="preserve">10分； </w:t>
            </w:r>
          </w:p>
          <w:p w14:paraId="553B1BD9">
            <w:pPr>
              <w:numPr>
                <w:ilvl w:val="0"/>
                <w:numId w:val="0"/>
              </w:numPr>
              <w:jc w:val="both"/>
              <w:rPr>
                <w:rFonts w:hint="eastAsia" w:ascii="宋体" w:hAnsi="宋体" w:eastAsia="宋体" w:cs="宋体"/>
                <w:color w:val="000000"/>
                <w:sz w:val="24"/>
                <w:szCs w:val="24"/>
                <w:highlight w:val="none"/>
                <w:lang w:eastAsia="zh-CN"/>
              </w:rPr>
            </w:pPr>
            <w:r>
              <w:rPr>
                <w:rFonts w:hint="eastAsia" w:ascii="宋体" w:hAnsi="宋体" w:eastAsia="宋体" w:cs="宋体"/>
                <w:color w:val="auto"/>
                <w:spacing w:val="-1"/>
                <w:sz w:val="24"/>
                <w:szCs w:val="24"/>
                <w:highlight w:val="none"/>
                <w:lang w:val="en-US" w:eastAsia="zh-CN"/>
              </w:rPr>
              <w:t>质量保证措施笼统的得</w:t>
            </w:r>
            <w:r>
              <w:rPr>
                <w:rFonts w:hint="default" w:ascii="宋体" w:hAnsi="宋体" w:eastAsia="宋体" w:cs="宋体"/>
                <w:color w:val="auto"/>
                <w:spacing w:val="-1"/>
                <w:sz w:val="24"/>
                <w:szCs w:val="24"/>
                <w:highlight w:val="none"/>
                <w:lang w:val="en-US" w:eastAsia="zh-CN"/>
              </w:rPr>
              <w:t>0-</w:t>
            </w:r>
            <w:r>
              <w:rPr>
                <w:rFonts w:hint="eastAsia" w:ascii="宋体" w:hAnsi="宋体" w:eastAsia="宋体" w:cs="宋体"/>
                <w:color w:val="auto"/>
                <w:spacing w:val="-1"/>
                <w:sz w:val="24"/>
                <w:szCs w:val="24"/>
                <w:highlight w:val="none"/>
                <w:lang w:val="en-US" w:eastAsia="zh-CN"/>
              </w:rPr>
              <w:t>5分。</w:t>
            </w:r>
          </w:p>
        </w:tc>
        <w:tc>
          <w:tcPr>
            <w:tcW w:w="360" w:type="pct"/>
            <w:vMerge w:val="continue"/>
            <w:tcBorders>
              <w:left w:val="single" w:color="auto" w:sz="4" w:space="0"/>
              <w:right w:val="single" w:color="auto" w:sz="4" w:space="0"/>
            </w:tcBorders>
            <w:noWrap w:val="0"/>
            <w:vAlign w:val="center"/>
          </w:tcPr>
          <w:p w14:paraId="2F3787A3">
            <w:pPr>
              <w:widowControl/>
              <w:jc w:val="left"/>
              <w:rPr>
                <w:rFonts w:ascii="宋体" w:hAnsi="宋体" w:eastAsia="宋体" w:cs="宋体"/>
                <w:color w:val="000000"/>
                <w:szCs w:val="24"/>
                <w:highlight w:val="none"/>
              </w:rPr>
            </w:pPr>
          </w:p>
        </w:tc>
      </w:tr>
      <w:tr w14:paraId="1085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505" w:type="pct"/>
            <w:vMerge w:val="continue"/>
            <w:tcBorders>
              <w:left w:val="single" w:color="auto" w:sz="4" w:space="0"/>
              <w:right w:val="single" w:color="auto" w:sz="4" w:space="0"/>
            </w:tcBorders>
            <w:noWrap w:val="0"/>
            <w:vAlign w:val="center"/>
          </w:tcPr>
          <w:p w14:paraId="522FC9F7">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bottom w:val="single" w:color="auto" w:sz="4" w:space="0"/>
              <w:right w:val="single" w:color="auto" w:sz="4" w:space="0"/>
            </w:tcBorders>
            <w:noWrap w:val="0"/>
            <w:vAlign w:val="center"/>
          </w:tcPr>
          <w:p w14:paraId="52B4E7DD">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14</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46B8D1E4">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14</w:t>
            </w:r>
            <w:r>
              <w:rPr>
                <w:rFonts w:hint="eastAsia" w:ascii="宋体" w:hAnsi="宋体" w:eastAsia="宋体" w:cs="宋体"/>
                <w:color w:val="000000"/>
                <w:szCs w:val="24"/>
                <w:highlight w:val="none"/>
              </w:rPr>
              <w:t>分</w:t>
            </w:r>
          </w:p>
        </w:tc>
        <w:tc>
          <w:tcPr>
            <w:tcW w:w="997" w:type="pct"/>
            <w:tcBorders>
              <w:top w:val="single" w:color="auto" w:sz="4" w:space="0"/>
              <w:left w:val="single" w:color="auto" w:sz="4" w:space="0"/>
              <w:bottom w:val="single" w:color="auto" w:sz="4" w:space="0"/>
              <w:right w:val="single" w:color="auto" w:sz="4" w:space="0"/>
            </w:tcBorders>
            <w:noWrap w:val="0"/>
            <w:vAlign w:val="top"/>
          </w:tcPr>
          <w:p w14:paraId="4D25EDC0">
            <w:pPr>
              <w:spacing w:line="400" w:lineRule="exact"/>
              <w:jc w:val="center"/>
              <w:rPr>
                <w:rFonts w:ascii="宋体" w:hAnsi="宋体" w:eastAsia="宋体" w:cs="宋体"/>
                <w:color w:val="000000"/>
                <w:szCs w:val="24"/>
                <w:highlight w:val="none"/>
              </w:rPr>
            </w:pPr>
          </w:p>
          <w:p w14:paraId="2AD83F63">
            <w:pPr>
              <w:spacing w:line="400" w:lineRule="exact"/>
              <w:jc w:val="center"/>
              <w:rPr>
                <w:rFonts w:ascii="宋体" w:hAnsi="宋体" w:eastAsia="宋体" w:cs="宋体"/>
                <w:color w:val="000000"/>
                <w:szCs w:val="24"/>
                <w:highlight w:val="none"/>
              </w:rPr>
            </w:pPr>
          </w:p>
          <w:p w14:paraId="1C9AEAB3">
            <w:pPr>
              <w:spacing w:line="400" w:lineRule="exact"/>
              <w:jc w:val="both"/>
              <w:rPr>
                <w:rFonts w:ascii="宋体" w:hAnsi="宋体" w:eastAsia="宋体" w:cs="宋体"/>
                <w:color w:val="000000"/>
                <w:szCs w:val="24"/>
                <w:highlight w:val="none"/>
              </w:rPr>
            </w:pPr>
          </w:p>
          <w:p w14:paraId="0E185EA4">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应急处理预案</w:t>
            </w:r>
          </w:p>
        </w:tc>
        <w:tc>
          <w:tcPr>
            <w:tcW w:w="2204" w:type="pct"/>
            <w:tcBorders>
              <w:top w:val="single" w:color="auto" w:sz="4" w:space="0"/>
              <w:left w:val="single" w:color="auto" w:sz="4" w:space="0"/>
              <w:bottom w:val="single" w:color="auto" w:sz="4" w:space="0"/>
              <w:right w:val="single" w:color="auto" w:sz="4" w:space="0"/>
            </w:tcBorders>
            <w:noWrap w:val="0"/>
            <w:vAlign w:val="top"/>
          </w:tcPr>
          <w:p w14:paraId="3A4937D2">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针对本项目服务过程发生应急情况处理预案方案全面，步骤清晰合理，能够紧扣项目实际情况得10.1-14分；</w:t>
            </w:r>
          </w:p>
          <w:p w14:paraId="19B14E7C">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方案较全面，步骤较清晰合理，与项目实际情况较符合得5.1-10分；</w:t>
            </w:r>
          </w:p>
          <w:p w14:paraId="52FD9610">
            <w:pPr>
              <w:numPr>
                <w:ilvl w:val="0"/>
                <w:numId w:val="0"/>
              </w:numPr>
              <w:jc w:val="both"/>
              <w:rPr>
                <w:rFonts w:hint="default" w:ascii="宋体" w:hAnsi="宋体" w:eastAsia="宋体" w:cs="宋体"/>
                <w:color w:val="000000"/>
                <w:sz w:val="24"/>
                <w:szCs w:val="24"/>
                <w:highlight w:val="none"/>
                <w:lang w:val="en-US" w:eastAsia="zh-CN"/>
              </w:rPr>
            </w:pPr>
            <w:r>
              <w:rPr>
                <w:rFonts w:hint="eastAsia" w:ascii="宋体" w:hAnsi="宋体" w:eastAsia="宋体" w:cs="宋体"/>
                <w:color w:val="auto"/>
                <w:spacing w:val="-1"/>
                <w:sz w:val="24"/>
                <w:szCs w:val="24"/>
                <w:highlight w:val="none"/>
                <w:lang w:val="en-US" w:eastAsia="zh-CN"/>
              </w:rPr>
              <w:t>方案不全面，步骤不清晰合理，与项目实际情况不符合0-5分。</w:t>
            </w:r>
          </w:p>
        </w:tc>
        <w:tc>
          <w:tcPr>
            <w:tcW w:w="360" w:type="pct"/>
            <w:vMerge w:val="continue"/>
            <w:tcBorders>
              <w:left w:val="single" w:color="auto" w:sz="4" w:space="0"/>
              <w:right w:val="single" w:color="auto" w:sz="4" w:space="0"/>
            </w:tcBorders>
            <w:noWrap w:val="0"/>
            <w:vAlign w:val="center"/>
          </w:tcPr>
          <w:p w14:paraId="431BA975">
            <w:pPr>
              <w:widowControl/>
              <w:jc w:val="left"/>
              <w:rPr>
                <w:rFonts w:ascii="宋体" w:hAnsi="宋体" w:eastAsia="宋体" w:cs="宋体"/>
                <w:color w:val="000000"/>
                <w:szCs w:val="24"/>
                <w:highlight w:val="none"/>
              </w:rPr>
            </w:pPr>
          </w:p>
        </w:tc>
      </w:tr>
      <w:tr w14:paraId="4573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505" w:type="pct"/>
            <w:vMerge w:val="continue"/>
            <w:tcBorders>
              <w:left w:val="single" w:color="auto" w:sz="4" w:space="0"/>
              <w:right w:val="single" w:color="auto" w:sz="4" w:space="0"/>
            </w:tcBorders>
            <w:noWrap w:val="0"/>
            <w:vAlign w:val="center"/>
          </w:tcPr>
          <w:p w14:paraId="7F934DCE">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bottom w:val="single" w:color="auto" w:sz="4" w:space="0"/>
              <w:right w:val="single" w:color="auto" w:sz="4" w:space="0"/>
            </w:tcBorders>
            <w:noWrap w:val="0"/>
            <w:vAlign w:val="center"/>
          </w:tcPr>
          <w:p w14:paraId="56B57240">
            <w:pPr>
              <w:spacing w:line="480" w:lineRule="exact"/>
              <w:jc w:val="center"/>
              <w:rPr>
                <w:rFonts w:hint="default" w:ascii="宋体" w:hAnsi="宋体" w:eastAsia="宋体" w:cs="宋体"/>
                <w:color w:val="000000"/>
                <w:szCs w:val="24"/>
                <w:highlight w:val="none"/>
                <w:lang w:val="en-US" w:eastAsia="zh-CN"/>
              </w:rPr>
            </w:pPr>
            <w:r>
              <w:rPr>
                <w:rFonts w:hint="eastAsia" w:ascii="宋体" w:hAnsi="宋体" w:eastAsia="宋体" w:cs="宋体"/>
                <w:color w:val="000000"/>
                <w:szCs w:val="24"/>
                <w:highlight w:val="none"/>
                <w:lang w:val="en-US" w:eastAsia="zh-CN"/>
              </w:rPr>
              <w:t>15%</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70B9B6D2">
            <w:pPr>
              <w:spacing w:line="480" w:lineRule="exact"/>
              <w:jc w:val="center"/>
              <w:rPr>
                <w:rFonts w:hint="default" w:ascii="宋体" w:hAnsi="宋体" w:eastAsia="宋体" w:cs="宋体"/>
                <w:color w:val="000000"/>
                <w:szCs w:val="24"/>
                <w:highlight w:val="none"/>
                <w:lang w:val="en-US" w:eastAsia="zh-CN"/>
              </w:rPr>
            </w:pPr>
            <w:r>
              <w:rPr>
                <w:rFonts w:hint="eastAsia" w:ascii="宋体" w:hAnsi="宋体" w:eastAsia="宋体" w:cs="宋体"/>
                <w:color w:val="000000"/>
                <w:szCs w:val="24"/>
                <w:highlight w:val="none"/>
                <w:lang w:val="en-US" w:eastAsia="zh-CN"/>
              </w:rPr>
              <w:t>15</w:t>
            </w:r>
          </w:p>
        </w:tc>
        <w:tc>
          <w:tcPr>
            <w:tcW w:w="997" w:type="pct"/>
            <w:tcBorders>
              <w:top w:val="single" w:color="auto" w:sz="4" w:space="0"/>
              <w:left w:val="single" w:color="auto" w:sz="4" w:space="0"/>
              <w:bottom w:val="single" w:color="auto" w:sz="4" w:space="0"/>
              <w:right w:val="single" w:color="auto" w:sz="4" w:space="0"/>
            </w:tcBorders>
            <w:noWrap w:val="0"/>
            <w:vAlign w:val="center"/>
          </w:tcPr>
          <w:p w14:paraId="3E9D6F07">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管理及考核办法</w:t>
            </w:r>
          </w:p>
        </w:tc>
        <w:tc>
          <w:tcPr>
            <w:tcW w:w="2204" w:type="pct"/>
            <w:tcBorders>
              <w:top w:val="single" w:color="auto" w:sz="4" w:space="0"/>
              <w:left w:val="single" w:color="auto" w:sz="4" w:space="0"/>
              <w:bottom w:val="single" w:color="auto" w:sz="4" w:space="0"/>
              <w:right w:val="single" w:color="auto" w:sz="4" w:space="0"/>
            </w:tcBorders>
            <w:noWrap w:val="0"/>
            <w:vAlign w:val="center"/>
          </w:tcPr>
          <w:p w14:paraId="674E2D51">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根据本项目特点针对服务人员的管理及考核办法管理及考核方案科学合理，描述清晰，且能针对性满足项目需求的得10.1-15分；</w:t>
            </w:r>
          </w:p>
          <w:p w14:paraId="4C063D74">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 xml:space="preserve">管理及考核方案合理，但陈述简单，缺乏针对性的得5.1-10分； </w:t>
            </w:r>
          </w:p>
          <w:p w14:paraId="68585F5B">
            <w:pPr>
              <w:numPr>
                <w:ilvl w:val="0"/>
                <w:numId w:val="0"/>
              </w:numPr>
              <w:jc w:val="both"/>
              <w:rPr>
                <w:rFonts w:hint="default" w:ascii="宋体" w:hAnsi="宋体" w:eastAsia="宋体" w:cs="宋体"/>
                <w:sz w:val="24"/>
                <w:szCs w:val="24"/>
                <w:highlight w:val="none"/>
                <w:lang w:val="en-US" w:eastAsia="zh-CN"/>
              </w:rPr>
            </w:pPr>
            <w:r>
              <w:rPr>
                <w:rFonts w:hint="eastAsia" w:ascii="宋体" w:hAnsi="宋体" w:eastAsia="宋体" w:cs="宋体"/>
                <w:color w:val="auto"/>
                <w:spacing w:val="-1"/>
                <w:sz w:val="24"/>
                <w:szCs w:val="24"/>
                <w:highlight w:val="none"/>
                <w:lang w:val="en-US" w:eastAsia="zh-CN"/>
              </w:rPr>
              <w:t>管理及考核方案笼统的得0-5分。</w:t>
            </w:r>
          </w:p>
        </w:tc>
        <w:tc>
          <w:tcPr>
            <w:tcW w:w="360" w:type="pct"/>
            <w:vMerge w:val="continue"/>
            <w:tcBorders>
              <w:left w:val="single" w:color="auto" w:sz="4" w:space="0"/>
              <w:right w:val="single" w:color="auto" w:sz="4" w:space="0"/>
            </w:tcBorders>
            <w:noWrap w:val="0"/>
            <w:vAlign w:val="center"/>
          </w:tcPr>
          <w:p w14:paraId="2867800C">
            <w:pPr>
              <w:widowControl/>
              <w:jc w:val="left"/>
              <w:rPr>
                <w:rFonts w:ascii="宋体" w:hAnsi="宋体" w:eastAsia="宋体" w:cs="宋体"/>
                <w:color w:val="000000"/>
                <w:szCs w:val="24"/>
                <w:highlight w:val="none"/>
              </w:rPr>
            </w:pPr>
          </w:p>
        </w:tc>
      </w:tr>
      <w:tr w14:paraId="1548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505" w:type="pct"/>
            <w:vMerge w:val="continue"/>
            <w:tcBorders>
              <w:left w:val="single" w:color="auto" w:sz="4" w:space="0"/>
              <w:right w:val="single" w:color="auto" w:sz="4" w:space="0"/>
            </w:tcBorders>
            <w:noWrap w:val="0"/>
            <w:vAlign w:val="center"/>
          </w:tcPr>
          <w:p w14:paraId="0FA1DF18">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bottom w:val="single" w:color="auto" w:sz="4" w:space="0"/>
              <w:right w:val="single" w:color="auto" w:sz="4" w:space="0"/>
            </w:tcBorders>
            <w:noWrap w:val="0"/>
            <w:vAlign w:val="center"/>
          </w:tcPr>
          <w:p w14:paraId="695A0D46">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15</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08705257">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15</w:t>
            </w:r>
            <w:r>
              <w:rPr>
                <w:rFonts w:hint="eastAsia" w:ascii="宋体" w:hAnsi="宋体" w:eastAsia="宋体" w:cs="宋体"/>
                <w:color w:val="000000"/>
                <w:szCs w:val="24"/>
                <w:highlight w:val="none"/>
              </w:rPr>
              <w:t>分</w:t>
            </w:r>
          </w:p>
        </w:tc>
        <w:tc>
          <w:tcPr>
            <w:tcW w:w="997" w:type="pct"/>
            <w:tcBorders>
              <w:top w:val="single" w:color="auto" w:sz="4" w:space="0"/>
              <w:left w:val="single" w:color="auto" w:sz="4" w:space="0"/>
              <w:bottom w:val="single" w:color="auto" w:sz="4" w:space="0"/>
              <w:right w:val="single" w:color="auto" w:sz="4" w:space="0"/>
            </w:tcBorders>
            <w:noWrap w:val="0"/>
            <w:vAlign w:val="center"/>
          </w:tcPr>
          <w:p w14:paraId="36A9F45A">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项目团队人员配备方案</w:t>
            </w:r>
          </w:p>
        </w:tc>
        <w:tc>
          <w:tcPr>
            <w:tcW w:w="2204" w:type="pct"/>
            <w:tcBorders>
              <w:top w:val="single" w:color="auto" w:sz="4" w:space="0"/>
              <w:left w:val="single" w:color="auto" w:sz="4" w:space="0"/>
              <w:bottom w:val="single" w:color="auto" w:sz="4" w:space="0"/>
              <w:right w:val="single" w:color="auto" w:sz="4" w:space="0"/>
            </w:tcBorders>
            <w:noWrap w:val="0"/>
            <w:vAlign w:val="center"/>
          </w:tcPr>
          <w:p w14:paraId="13BE54EC">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项目团队人员配备方案科学合理，描述清晰，且能针对性满足项目需求的得10.1-15分；</w:t>
            </w:r>
          </w:p>
          <w:p w14:paraId="63E8A306">
            <w:pPr>
              <w:numPr>
                <w:ilvl w:val="0"/>
                <w:numId w:val="0"/>
              </w:numPr>
              <w:jc w:val="both"/>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项目团队人员配备方案合理，但陈述简单，缺乏针对性的得5.1</w:t>
            </w:r>
            <w:r>
              <w:rPr>
                <w:rFonts w:hint="default" w:ascii="宋体" w:hAnsi="宋体" w:eastAsia="宋体" w:cs="宋体"/>
                <w:color w:val="auto"/>
                <w:spacing w:val="-1"/>
                <w:sz w:val="24"/>
                <w:szCs w:val="24"/>
                <w:highlight w:val="none"/>
                <w:lang w:val="en-US" w:eastAsia="zh-CN"/>
              </w:rPr>
              <w:t>-</w:t>
            </w:r>
            <w:r>
              <w:rPr>
                <w:rFonts w:hint="eastAsia" w:ascii="宋体" w:hAnsi="宋体" w:eastAsia="宋体" w:cs="宋体"/>
                <w:color w:val="auto"/>
                <w:spacing w:val="-1"/>
                <w:sz w:val="24"/>
                <w:szCs w:val="24"/>
                <w:highlight w:val="none"/>
                <w:lang w:val="en-US" w:eastAsia="zh-CN"/>
              </w:rPr>
              <w:t>10分；</w:t>
            </w:r>
          </w:p>
          <w:p w14:paraId="39B64D97">
            <w:pPr>
              <w:numPr>
                <w:ilvl w:val="0"/>
                <w:numId w:val="0"/>
              </w:numPr>
              <w:jc w:val="both"/>
              <w:rPr>
                <w:rFonts w:hint="eastAsia" w:ascii="宋体" w:hAnsi="宋体" w:eastAsia="宋体" w:cs="宋体"/>
                <w:color w:val="000000"/>
                <w:szCs w:val="24"/>
                <w:highlight w:val="none"/>
                <w:lang w:eastAsia="zh-CN"/>
              </w:rPr>
            </w:pPr>
            <w:r>
              <w:rPr>
                <w:rFonts w:hint="eastAsia" w:ascii="宋体" w:hAnsi="宋体" w:eastAsia="宋体" w:cs="宋体"/>
                <w:color w:val="auto"/>
                <w:spacing w:val="-1"/>
                <w:sz w:val="24"/>
                <w:szCs w:val="24"/>
                <w:highlight w:val="none"/>
                <w:lang w:val="en-US" w:eastAsia="zh-CN"/>
              </w:rPr>
              <w:t>项目团队人员配备方案笼统的得</w:t>
            </w:r>
            <w:r>
              <w:rPr>
                <w:rFonts w:hint="default" w:ascii="宋体" w:hAnsi="宋体" w:eastAsia="宋体" w:cs="宋体"/>
                <w:color w:val="auto"/>
                <w:spacing w:val="-1"/>
                <w:sz w:val="24"/>
                <w:szCs w:val="24"/>
                <w:highlight w:val="none"/>
                <w:lang w:val="en-US" w:eastAsia="zh-CN"/>
              </w:rPr>
              <w:t>0-</w:t>
            </w:r>
            <w:r>
              <w:rPr>
                <w:rFonts w:hint="eastAsia" w:ascii="宋体" w:hAnsi="宋体" w:eastAsia="宋体" w:cs="宋体"/>
                <w:color w:val="auto"/>
                <w:spacing w:val="-1"/>
                <w:sz w:val="24"/>
                <w:szCs w:val="24"/>
                <w:highlight w:val="none"/>
                <w:lang w:val="en-US" w:eastAsia="zh-CN"/>
              </w:rPr>
              <w:t>5分。</w:t>
            </w:r>
          </w:p>
        </w:tc>
        <w:tc>
          <w:tcPr>
            <w:tcW w:w="360" w:type="pct"/>
            <w:vMerge w:val="continue"/>
            <w:tcBorders>
              <w:left w:val="single" w:color="auto" w:sz="4" w:space="0"/>
              <w:right w:val="single" w:color="auto" w:sz="4" w:space="0"/>
            </w:tcBorders>
            <w:noWrap w:val="0"/>
            <w:vAlign w:val="center"/>
          </w:tcPr>
          <w:p w14:paraId="0F68C1BA">
            <w:pPr>
              <w:widowControl/>
              <w:jc w:val="left"/>
              <w:rPr>
                <w:rFonts w:ascii="宋体" w:hAnsi="宋体" w:eastAsia="宋体" w:cs="宋体"/>
                <w:color w:val="000000"/>
                <w:szCs w:val="24"/>
                <w:highlight w:val="none"/>
              </w:rPr>
            </w:pPr>
          </w:p>
        </w:tc>
      </w:tr>
      <w:tr w14:paraId="5D68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05" w:type="pct"/>
            <w:vMerge w:val="continue"/>
            <w:tcBorders>
              <w:left w:val="single" w:color="auto" w:sz="4" w:space="0"/>
              <w:bottom w:val="single" w:color="auto" w:sz="4" w:space="0"/>
              <w:right w:val="single" w:color="auto" w:sz="4" w:space="0"/>
            </w:tcBorders>
            <w:noWrap w:val="0"/>
            <w:vAlign w:val="center"/>
          </w:tcPr>
          <w:p w14:paraId="4F89609C">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bottom w:val="single" w:color="auto" w:sz="4" w:space="0"/>
              <w:right w:val="single" w:color="auto" w:sz="4" w:space="0"/>
            </w:tcBorders>
            <w:noWrap w:val="0"/>
            <w:vAlign w:val="center"/>
          </w:tcPr>
          <w:p w14:paraId="33571D0F">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2480FFB1">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w:t>
            </w:r>
            <w:r>
              <w:rPr>
                <w:rFonts w:hint="eastAsia" w:ascii="宋体" w:hAnsi="宋体" w:eastAsia="宋体" w:cs="宋体"/>
                <w:color w:val="000000"/>
                <w:szCs w:val="24"/>
                <w:highlight w:val="none"/>
              </w:rPr>
              <w:t>分</w:t>
            </w:r>
          </w:p>
        </w:tc>
        <w:tc>
          <w:tcPr>
            <w:tcW w:w="997" w:type="pct"/>
            <w:tcBorders>
              <w:top w:val="single" w:color="auto" w:sz="4" w:space="0"/>
              <w:left w:val="single" w:color="auto" w:sz="4" w:space="0"/>
              <w:bottom w:val="single" w:color="auto" w:sz="4" w:space="0"/>
              <w:right w:val="single" w:color="auto" w:sz="4" w:space="0"/>
            </w:tcBorders>
            <w:noWrap w:val="0"/>
            <w:vAlign w:val="center"/>
          </w:tcPr>
          <w:p w14:paraId="6D412A2D">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类似业绩</w:t>
            </w:r>
          </w:p>
        </w:tc>
        <w:tc>
          <w:tcPr>
            <w:tcW w:w="2204" w:type="pct"/>
            <w:tcBorders>
              <w:top w:val="single" w:color="auto" w:sz="4" w:space="0"/>
              <w:left w:val="single" w:color="auto" w:sz="4" w:space="0"/>
              <w:bottom w:val="single" w:color="auto" w:sz="4" w:space="0"/>
              <w:right w:val="single" w:color="auto" w:sz="4" w:space="0"/>
            </w:tcBorders>
            <w:noWrap w:val="0"/>
            <w:vAlign w:val="center"/>
          </w:tcPr>
          <w:p w14:paraId="1A6FA426">
            <w:pPr>
              <w:spacing w:line="400" w:lineRule="exact"/>
              <w:rPr>
                <w:rFonts w:hint="eastAsia" w:ascii="宋体" w:hAnsi="宋体" w:eastAsia="宋体" w:cs="宋体"/>
                <w:color w:val="000000"/>
                <w:szCs w:val="24"/>
                <w:highlight w:val="none"/>
                <w:lang w:val="zh-CN"/>
              </w:rPr>
            </w:pPr>
            <w:r>
              <w:rPr>
                <w:rFonts w:hint="eastAsia" w:ascii="宋体" w:hAnsi="宋体" w:eastAsia="宋体" w:cs="宋体"/>
                <w:color w:val="000000"/>
                <w:szCs w:val="24"/>
                <w:highlight w:val="none"/>
              </w:rPr>
              <w:t>供应商</w:t>
            </w:r>
            <w:r>
              <w:rPr>
                <w:rFonts w:hint="eastAsia" w:ascii="宋体" w:hAnsi="宋体" w:eastAsia="宋体" w:cs="宋体"/>
                <w:color w:val="000000"/>
                <w:szCs w:val="24"/>
                <w:highlight w:val="none"/>
                <w:lang w:val="zh-CN"/>
              </w:rPr>
              <w:t>近三年（202</w:t>
            </w:r>
            <w:r>
              <w:rPr>
                <w:rFonts w:hint="eastAsia" w:ascii="宋体" w:hAnsi="宋体" w:eastAsia="宋体" w:cs="宋体"/>
                <w:color w:val="000000"/>
                <w:szCs w:val="24"/>
                <w:highlight w:val="none"/>
                <w:lang w:val="en-US" w:eastAsia="zh-CN"/>
              </w:rPr>
              <w:t>2</w:t>
            </w:r>
            <w:r>
              <w:rPr>
                <w:rFonts w:hint="eastAsia" w:ascii="宋体" w:hAnsi="宋体" w:eastAsia="宋体" w:cs="宋体"/>
                <w:color w:val="000000"/>
                <w:szCs w:val="24"/>
                <w:highlight w:val="none"/>
                <w:lang w:val="zh-CN"/>
              </w:rPr>
              <w:t>年</w:t>
            </w: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lang w:val="zh-CN"/>
              </w:rPr>
              <w:t>月-至今）类似业绩证明材料,每提供</w:t>
            </w:r>
            <w:r>
              <w:rPr>
                <w:rFonts w:hint="eastAsia" w:ascii="宋体" w:hAnsi="宋体" w:eastAsia="宋体" w:cs="宋体"/>
                <w:color w:val="000000"/>
                <w:szCs w:val="24"/>
                <w:highlight w:val="none"/>
                <w:lang w:val="en-US" w:eastAsia="zh-CN"/>
              </w:rPr>
              <w:t>1</w:t>
            </w:r>
            <w:r>
              <w:rPr>
                <w:rFonts w:hint="eastAsia" w:ascii="宋体" w:hAnsi="宋体" w:eastAsia="宋体" w:cs="宋体"/>
                <w:color w:val="000000"/>
                <w:szCs w:val="24"/>
                <w:highlight w:val="none"/>
                <w:lang w:val="zh-CN"/>
              </w:rPr>
              <w:t>项得</w:t>
            </w:r>
            <w:r>
              <w:rPr>
                <w:rFonts w:hint="eastAsia" w:ascii="宋体" w:hAnsi="宋体" w:eastAsia="宋体" w:cs="宋体"/>
                <w:color w:val="000000"/>
                <w:szCs w:val="24"/>
                <w:highlight w:val="none"/>
                <w:lang w:val="en-US" w:eastAsia="zh-CN"/>
              </w:rPr>
              <w:t>0.5</w:t>
            </w:r>
            <w:r>
              <w:rPr>
                <w:rFonts w:hint="eastAsia" w:ascii="宋体" w:hAnsi="宋体" w:eastAsia="宋体" w:cs="宋体"/>
                <w:color w:val="000000"/>
                <w:szCs w:val="24"/>
                <w:highlight w:val="none"/>
                <w:lang w:val="zh-CN"/>
              </w:rPr>
              <w:t>分，满分</w:t>
            </w:r>
            <w:r>
              <w:rPr>
                <w:rFonts w:hint="eastAsia" w:ascii="宋体" w:hAnsi="宋体" w:eastAsia="宋体" w:cs="宋体"/>
                <w:color w:val="000000"/>
                <w:szCs w:val="24"/>
                <w:highlight w:val="none"/>
                <w:lang w:val="en-US" w:eastAsia="zh-CN"/>
              </w:rPr>
              <w:t>1</w:t>
            </w:r>
            <w:r>
              <w:rPr>
                <w:rFonts w:hint="eastAsia" w:ascii="宋体" w:hAnsi="宋体" w:eastAsia="宋体" w:cs="宋体"/>
                <w:color w:val="000000"/>
                <w:szCs w:val="24"/>
                <w:highlight w:val="none"/>
                <w:lang w:val="zh-CN"/>
              </w:rPr>
              <w:t>分。</w:t>
            </w:r>
          </w:p>
          <w:p w14:paraId="3BB31EA9">
            <w:pPr>
              <w:spacing w:line="400" w:lineRule="exact"/>
              <w:rPr>
                <w:highlight w:val="none"/>
                <w:lang w:val="zh-CN"/>
              </w:rPr>
            </w:pPr>
            <w:r>
              <w:rPr>
                <w:rFonts w:hint="eastAsia" w:ascii="宋体" w:hAnsi="宋体" w:eastAsia="宋体" w:cs="宋体"/>
                <w:b/>
                <w:bCs/>
                <w:color w:val="000000"/>
                <w:szCs w:val="24"/>
                <w:highlight w:val="none"/>
                <w:lang w:val="zh-CN"/>
              </w:rPr>
              <w:t>注：需</w:t>
            </w:r>
            <w:r>
              <w:rPr>
                <w:rFonts w:hint="eastAsia" w:ascii="宋体" w:hAnsi="宋体" w:eastAsia="宋体" w:cs="宋体"/>
                <w:b/>
                <w:bCs/>
                <w:color w:val="000000"/>
                <w:szCs w:val="24"/>
                <w:highlight w:val="none"/>
                <w:lang w:val="en-US" w:eastAsia="zh-CN"/>
              </w:rPr>
              <w:t>提供</w:t>
            </w:r>
            <w:r>
              <w:rPr>
                <w:rFonts w:hint="eastAsia" w:ascii="宋体" w:hAnsi="宋体" w:eastAsia="宋体" w:cs="宋体"/>
                <w:b/>
                <w:bCs/>
                <w:color w:val="000000"/>
                <w:szCs w:val="24"/>
                <w:highlight w:val="none"/>
                <w:lang w:val="zh-CN"/>
              </w:rPr>
              <w:t>合同</w:t>
            </w:r>
            <w:r>
              <w:rPr>
                <w:rFonts w:hint="eastAsia" w:ascii="宋体" w:hAnsi="宋体" w:eastAsia="宋体" w:cs="宋体"/>
                <w:b/>
                <w:bCs/>
                <w:color w:val="000000"/>
                <w:szCs w:val="24"/>
                <w:highlight w:val="none"/>
                <w:lang w:val="en-US" w:eastAsia="zh-CN"/>
              </w:rPr>
              <w:t>或</w:t>
            </w:r>
            <w:r>
              <w:rPr>
                <w:rFonts w:hint="eastAsia" w:ascii="宋体" w:hAnsi="宋体" w:eastAsia="宋体" w:cs="宋体"/>
                <w:b/>
                <w:bCs/>
                <w:color w:val="000000"/>
                <w:szCs w:val="24"/>
                <w:highlight w:val="none"/>
                <w:lang w:val="zh-CN"/>
              </w:rPr>
              <w:t>中标通知书扫描件并加盖单位公章，否则不得分。</w:t>
            </w:r>
          </w:p>
        </w:tc>
        <w:tc>
          <w:tcPr>
            <w:tcW w:w="360" w:type="pct"/>
            <w:vMerge w:val="continue"/>
            <w:tcBorders>
              <w:left w:val="single" w:color="auto" w:sz="4" w:space="0"/>
              <w:bottom w:val="single" w:color="auto" w:sz="4" w:space="0"/>
              <w:right w:val="single" w:color="auto" w:sz="4" w:space="0"/>
            </w:tcBorders>
            <w:noWrap w:val="0"/>
            <w:vAlign w:val="center"/>
          </w:tcPr>
          <w:p w14:paraId="6D63BA20">
            <w:pPr>
              <w:widowControl/>
              <w:jc w:val="left"/>
              <w:rPr>
                <w:rFonts w:ascii="宋体" w:hAnsi="宋体" w:eastAsia="宋体" w:cs="宋体"/>
                <w:color w:val="000000"/>
                <w:szCs w:val="24"/>
                <w:highlight w:val="none"/>
              </w:rPr>
            </w:pPr>
          </w:p>
        </w:tc>
      </w:tr>
      <w:tr w14:paraId="2FDB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05" w:type="pct"/>
            <w:tcBorders>
              <w:top w:val="single" w:color="auto" w:sz="4" w:space="0"/>
              <w:left w:val="single" w:color="auto" w:sz="4" w:space="0"/>
              <w:bottom w:val="single" w:color="auto" w:sz="4" w:space="0"/>
              <w:right w:val="single" w:color="auto" w:sz="4" w:space="0"/>
            </w:tcBorders>
            <w:noWrap w:val="0"/>
            <w:vAlign w:val="center"/>
          </w:tcPr>
          <w:p w14:paraId="757E94C9">
            <w:pPr>
              <w:spacing w:line="320" w:lineRule="exact"/>
              <w:rPr>
                <w:rFonts w:ascii="宋体" w:hAnsi="宋体" w:eastAsia="宋体" w:cs="宋体"/>
                <w:color w:val="000000"/>
                <w:szCs w:val="24"/>
                <w:highlight w:val="none"/>
              </w:rPr>
            </w:pPr>
            <w:r>
              <w:rPr>
                <w:rFonts w:hint="eastAsia" w:ascii="宋体" w:hAnsi="宋体" w:eastAsia="宋体" w:cs="宋体"/>
                <w:b/>
                <w:bCs/>
                <w:color w:val="000000"/>
                <w:szCs w:val="24"/>
                <w:highlight w:val="none"/>
              </w:rPr>
              <w:t>备注</w:t>
            </w:r>
          </w:p>
        </w:tc>
        <w:tc>
          <w:tcPr>
            <w:tcW w:w="4494" w:type="pct"/>
            <w:gridSpan w:val="5"/>
            <w:tcBorders>
              <w:top w:val="single" w:color="auto" w:sz="4" w:space="0"/>
              <w:left w:val="single" w:color="auto" w:sz="4" w:space="0"/>
              <w:bottom w:val="single" w:color="auto" w:sz="4" w:space="0"/>
              <w:right w:val="single" w:color="auto" w:sz="4" w:space="0"/>
            </w:tcBorders>
            <w:noWrap w:val="0"/>
            <w:vAlign w:val="top"/>
          </w:tcPr>
          <w:p w14:paraId="44942BDE">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1、各评委独立打分。</w:t>
            </w:r>
          </w:p>
          <w:p w14:paraId="2A73E8E5">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2、评委打分超过得分界限或未按本表规定赋分时，该评委的打分作废，不计入汇总分。</w:t>
            </w:r>
          </w:p>
          <w:p w14:paraId="6FB64331">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3、若出现综合得分并列时，比较价格得分，此分项得分高者排序在前；若价格得分仍相同，比较技术得分，此分项得分高者排序在前；若技术得分仍相同，则由全体</w:t>
            </w:r>
            <w:r>
              <w:rPr>
                <w:rFonts w:hint="eastAsia" w:ascii="宋体" w:hAnsi="宋体" w:eastAsia="宋体" w:cs="宋体"/>
                <w:bCs/>
                <w:color w:val="000000"/>
                <w:szCs w:val="24"/>
                <w:highlight w:val="none"/>
              </w:rPr>
              <w:t>磋商小组</w:t>
            </w:r>
            <w:r>
              <w:rPr>
                <w:rFonts w:hint="eastAsia" w:ascii="宋体" w:hAnsi="宋体" w:eastAsia="宋体" w:cs="宋体"/>
                <w:color w:val="000000"/>
                <w:szCs w:val="24"/>
                <w:highlight w:val="none"/>
              </w:rPr>
              <w:t>成员无记名投票，得票高者排序在前。</w:t>
            </w:r>
          </w:p>
          <w:p w14:paraId="19EF4B40">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4、各种计算采用插入法，数字均保留两位小数，第三位“四舍五入”。</w:t>
            </w:r>
          </w:p>
          <w:p w14:paraId="6887BCB1">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5、评标过程中，若出现特殊情况时，由</w:t>
            </w:r>
            <w:r>
              <w:rPr>
                <w:rFonts w:hint="eastAsia" w:ascii="宋体" w:hAnsi="宋体" w:eastAsia="宋体" w:cs="宋体"/>
                <w:bCs/>
                <w:color w:val="000000"/>
                <w:szCs w:val="24"/>
                <w:highlight w:val="none"/>
              </w:rPr>
              <w:t>磋商小组</w:t>
            </w:r>
            <w:r>
              <w:rPr>
                <w:rFonts w:hint="eastAsia" w:ascii="宋体" w:hAnsi="宋体" w:eastAsia="宋体" w:cs="宋体"/>
                <w:color w:val="000000"/>
                <w:szCs w:val="24"/>
                <w:highlight w:val="none"/>
              </w:rPr>
              <w:t>决定暂停评标，并提出具体处理意见。</w:t>
            </w:r>
          </w:p>
          <w:p w14:paraId="7C4FA7E4">
            <w:pPr>
              <w:spacing w:line="400" w:lineRule="exact"/>
              <w:rPr>
                <w:rFonts w:ascii="宋体" w:hAnsi="宋体" w:eastAsia="宋体" w:cs="宋体"/>
                <w:color w:val="000000"/>
                <w:szCs w:val="24"/>
                <w:highlight w:val="none"/>
              </w:rPr>
            </w:pPr>
            <w:r>
              <w:rPr>
                <w:rFonts w:hint="eastAsia" w:ascii="宋体" w:hAnsi="宋体" w:eastAsia="宋体" w:cs="宋体"/>
                <w:b/>
                <w:bCs/>
                <w:color w:val="000000"/>
                <w:szCs w:val="24"/>
                <w:highlight w:val="none"/>
              </w:rPr>
              <w:t>注：以上评分项需要提供的资料，有就得分，无则不得分，提供虚假资料者按无效标处理。</w:t>
            </w:r>
          </w:p>
        </w:tc>
      </w:tr>
    </w:tbl>
    <w:p w14:paraId="0FB3F7FB">
      <w:pPr>
        <w:spacing w:line="56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w:t>
      </w:r>
      <w:r>
        <w:rPr>
          <w:rFonts w:hint="eastAsia" w:ascii="宋体" w:hAnsi="宋体" w:eastAsia="宋体" w:cs="宋体"/>
          <w:b/>
          <w:bCs/>
          <w:color w:val="000000" w:themeColor="text1"/>
          <w:szCs w:val="24"/>
          <w:highlight w:val="none"/>
          <w14:textFill>
            <w14:solidFill>
              <w14:schemeClr w14:val="tx1"/>
            </w14:solidFill>
          </w14:textFill>
        </w:rPr>
        <w:t>特殊情况处理</w:t>
      </w:r>
      <w:r>
        <w:rPr>
          <w:rFonts w:hint="eastAsia" w:ascii="宋体" w:hAnsi="宋体" w:eastAsia="宋体" w:cs="宋体"/>
          <w:color w:val="000000" w:themeColor="text1"/>
          <w:szCs w:val="24"/>
          <w:highlight w:val="none"/>
          <w14:textFill>
            <w14:solidFill>
              <w14:schemeClr w14:val="tx1"/>
            </w14:solidFill>
          </w14:textFill>
        </w:rPr>
        <w:t>：</w:t>
      </w:r>
    </w:p>
    <w:p w14:paraId="4CDEED3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a、当供应商某评分项出现未报、漏报或零报价时，该分项得零分，并不参与投标报价分的计算。</w:t>
      </w:r>
    </w:p>
    <w:p w14:paraId="18923EC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b、若出现综合得分相同时，投标报价得分高者为第一中标候选人，若投标报价得分相同，技术得分高者为第一中标候选人，若上述两项得分相同，则由全体</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成员无记名投票，得票高者为第一中标候选人。</w:t>
      </w:r>
    </w:p>
    <w:p w14:paraId="0936863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c、评标过程中，若出现本评标方法以外的特殊情况时，将暂停评标，待评委商榷后再进行复会。</w:t>
      </w:r>
    </w:p>
    <w:p w14:paraId="77BFCFC7">
      <w:pPr>
        <w:spacing w:line="560" w:lineRule="exact"/>
        <w:ind w:firstLine="600" w:firstLineChars="249"/>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2-7、政府采购政策评分标准（本项目为专门面向中小企业采购项目，不享受价格扣除优惠政策）</w:t>
      </w:r>
    </w:p>
    <w:p w14:paraId="586B58E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2.7.1小微企业的政策</w:t>
      </w:r>
    </w:p>
    <w:p w14:paraId="6B72CD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根据财政部、工信部《政府采购促进中小企业发展管理办法》（财库〔2020〕46 号）、《关于进一步加大政府采购支持中小企业力度的通知》（财库〔2022〕19号）、《关于进一步落实政府采购支持中小企业相关政策的通知》(陕财办采 (2023) 3号)的规定，对于经主管预算单位统筹后未预留份额专门面向中小企业采购的服务类项目，以及预留份额项目中的非预留部分采购包，采购人、采购代理机构应当对符合规定的小微企业报价给予10%的扣除，用扣除后的价格参加评审。适用招标投标法的政府采购工程建设项目，采用综合评估法但未采用低价优先法计算价格分的，评标时应当在采用原报价进行评分的基础上增加其价格得分的3%作为其价格分。</w:t>
      </w:r>
    </w:p>
    <w:p w14:paraId="52A8A37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采购限额标准以上，200万元以下的货物和服务采购项目、400万元以下的工程采购项目，适宜由中小企业提供的，应当专门面向中小企业采购。超过 200万元的货物和服务采购项目、超过400万元的工程采购项目中适宜由中小企业提供的，面向中小企业的预留份额今年阶段性提高至40%以上，其中预留给小微企业比例不低于70%。</w:t>
      </w:r>
    </w:p>
    <w:p w14:paraId="40B5702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以上均用扣除后的价格参与评审。中小型和微型企业按照《工业和信息化部、国家统计局、国家发展和改革委员会、财政部关于印发&lt;中小企业划型标准规定&gt;的通知》（工信部联合企业【2011】300 号）规定执行。</w:t>
      </w:r>
    </w:p>
    <w:p w14:paraId="6BE8616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2.7.2监狱企业的政策 </w:t>
      </w:r>
    </w:p>
    <w:p w14:paraId="77788A3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根据《财政部、司法部关于政府采购支持监狱企业发展有关问题的通知》（财库〔2014〕68 号）规定，在政府采购活动中，监狱企业视同中小型、微型企业，享受预留份额、评审中价格扣除等政府采购促进中小企业发展的政府采购政策。</w:t>
      </w:r>
    </w:p>
    <w:p w14:paraId="2999422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2.7.3残疾人福利性单位的政策 </w:t>
      </w:r>
    </w:p>
    <w:p w14:paraId="1F5A1FD4">
      <w:pPr>
        <w:spacing w:line="56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根据财政部、民政部、中国残疾人联合会《三部门联合发布关于促进残疾人就业政府采购政策的通知》（财库[2017]141 号）要求，在政府采购活动中，残疾人福利性单位视同中小型、微型企业，享受预留份额、评审中价格扣除等促进中小企业发展的政府采购政策。</w:t>
      </w:r>
    </w:p>
    <w:p w14:paraId="0BC0C9EE">
      <w:pPr>
        <w:spacing w:line="50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2-7-</w:t>
      </w:r>
      <w:r>
        <w:rPr>
          <w:rFonts w:hint="eastAsia" w:asciiTheme="minorEastAsia" w:hAnsiTheme="minorEastAsia" w:cstheme="minorEastAsia"/>
          <w:b w:val="0"/>
          <w:bCs w:val="0"/>
          <w:color w:val="000000" w:themeColor="text1"/>
          <w:szCs w:val="24"/>
          <w:lang w:val="en-US" w:eastAsia="zh-CN"/>
          <w14:textFill>
            <w14:solidFill>
              <w14:schemeClr w14:val="tx1"/>
            </w14:solidFill>
          </w14:textFill>
        </w:rPr>
        <w:t>4</w:t>
      </w:r>
      <w:r>
        <w:rPr>
          <w:rFonts w:hint="eastAsia" w:asciiTheme="minorEastAsia" w:hAnsiTheme="minorEastAsia" w:cstheme="minorEastAsia"/>
          <w:b w:val="0"/>
          <w:bCs w:val="0"/>
          <w:color w:val="000000" w:themeColor="text1"/>
          <w:szCs w:val="24"/>
          <w14:textFill>
            <w14:solidFill>
              <w14:schemeClr w14:val="tx1"/>
            </w14:solidFill>
          </w14:textFill>
        </w:rPr>
        <w:t>本项目是否专门面向中小企业项目：是。</w:t>
      </w:r>
    </w:p>
    <w:p w14:paraId="4DA2A6AE">
      <w:pPr>
        <w:spacing w:line="56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18595AF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3、定标</w:t>
      </w:r>
    </w:p>
    <w:p w14:paraId="47265CD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3-1、定标程序</w:t>
      </w:r>
    </w:p>
    <w:p w14:paraId="0661B875">
      <w:pPr>
        <w:numPr>
          <w:ilvl w:val="0"/>
          <w:numId w:val="5"/>
        </w:numPr>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磋商小组依据评标办法，经过资格性审查、符合性审查、</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14:textFill>
            <w14:solidFill>
              <w14:schemeClr w14:val="tx1"/>
            </w14:solidFill>
          </w14:textFill>
        </w:rPr>
        <w:t>澄清、比较与评价等程序后，在最大限度满足竞争性磋商文件实质性要求前提下进行综合评审，以评标总得分</w:t>
      </w:r>
      <w:r>
        <w:rPr>
          <w:rFonts w:hint="eastAsia" w:ascii="宋体" w:hAnsi="宋体" w:eastAsia="宋体" w:cs="宋体"/>
          <w:color w:val="000000" w:themeColor="text1"/>
          <w:szCs w:val="24"/>
          <w:highlight w:val="none"/>
          <w:lang w:val="en-US" w:eastAsia="zh-CN"/>
          <w14:textFill>
            <w14:solidFill>
              <w14:schemeClr w14:val="tx1"/>
            </w14:solidFill>
          </w14:textFill>
        </w:rPr>
        <w:t>由</w:t>
      </w:r>
      <w:r>
        <w:rPr>
          <w:rFonts w:hint="eastAsia" w:ascii="宋体" w:hAnsi="宋体" w:eastAsia="宋体" w:cs="宋体"/>
          <w:color w:val="000000" w:themeColor="text1"/>
          <w:szCs w:val="24"/>
          <w:highlight w:val="none"/>
          <w14:textFill>
            <w14:solidFill>
              <w14:schemeClr w14:val="tx1"/>
            </w14:solidFill>
          </w14:textFill>
        </w:rPr>
        <w:t>高</w:t>
      </w:r>
      <w:r>
        <w:rPr>
          <w:rFonts w:hint="eastAsia" w:ascii="宋体" w:hAnsi="宋体" w:eastAsia="宋体" w:cs="宋体"/>
          <w:color w:val="000000" w:themeColor="text1"/>
          <w:szCs w:val="24"/>
          <w:highlight w:val="none"/>
          <w:lang w:val="en-US" w:eastAsia="zh-CN"/>
          <w14:textFill>
            <w14:solidFill>
              <w14:schemeClr w14:val="tx1"/>
            </w14:solidFill>
          </w14:textFill>
        </w:rPr>
        <w:t>至</w:t>
      </w:r>
      <w:r>
        <w:rPr>
          <w:rFonts w:hint="eastAsia" w:ascii="宋体" w:hAnsi="宋体" w:eastAsia="宋体" w:cs="宋体"/>
          <w:color w:val="000000" w:themeColor="text1"/>
          <w:szCs w:val="24"/>
          <w:highlight w:val="none"/>
          <w14:textFill>
            <w14:solidFill>
              <w14:schemeClr w14:val="tx1"/>
            </w14:solidFill>
          </w14:textFill>
        </w:rPr>
        <w:t>低的顺序推荐3名以上成交候选人，并编写</w:t>
      </w:r>
      <w:bookmarkStart w:id="36" w:name="OLE_LINK4"/>
      <w:r>
        <w:rPr>
          <w:rFonts w:hint="eastAsia" w:ascii="宋体" w:hAnsi="宋体" w:eastAsia="宋体" w:cs="宋体"/>
          <w:color w:val="000000" w:themeColor="text1"/>
          <w:szCs w:val="24"/>
          <w:highlight w:val="none"/>
          <w14:textFill>
            <w14:solidFill>
              <w14:schemeClr w14:val="tx1"/>
            </w14:solidFill>
          </w14:textFill>
        </w:rPr>
        <w:t>评标</w:t>
      </w:r>
      <w:bookmarkEnd w:id="36"/>
      <w:r>
        <w:rPr>
          <w:rFonts w:hint="eastAsia" w:ascii="宋体" w:hAnsi="宋体" w:eastAsia="宋体" w:cs="宋体"/>
          <w:color w:val="000000" w:themeColor="text1"/>
          <w:szCs w:val="24"/>
          <w:highlight w:val="none"/>
          <w14:textFill>
            <w14:solidFill>
              <w14:schemeClr w14:val="tx1"/>
            </w14:solidFill>
          </w14:textFill>
        </w:rPr>
        <w:t>报告。</w:t>
      </w:r>
      <w:r>
        <w:rPr>
          <w:rFonts w:hint="eastAsia" w:ascii="宋体" w:hAnsi="宋体" w:eastAsia="宋体" w:cs="宋体"/>
          <w:color w:val="000000" w:themeColor="text1"/>
          <w:kern w:val="0"/>
          <w:szCs w:val="24"/>
          <w:highlight w:val="none"/>
          <w14:textFill>
            <w14:solidFill>
              <w14:schemeClr w14:val="tx1"/>
            </w14:solidFill>
          </w14:textFill>
        </w:rPr>
        <w:t>　</w:t>
      </w:r>
    </w:p>
    <w:p w14:paraId="5E250D03">
      <w:pPr>
        <w:numPr>
          <w:ilvl w:val="0"/>
          <w:numId w:val="5"/>
        </w:num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37" w:name="OLE_LINK18"/>
      <w:r>
        <w:rPr>
          <w:rFonts w:hint="eastAsia" w:ascii="宋体" w:hAnsi="宋体" w:eastAsia="宋体" w:cs="宋体"/>
          <w:color w:val="000000" w:themeColor="text1"/>
          <w:szCs w:val="24"/>
          <w:highlight w:val="none"/>
          <w14:textFill>
            <w14:solidFill>
              <w14:schemeClr w14:val="tx1"/>
            </w14:solidFill>
          </w14:textFill>
        </w:rPr>
        <w:t>磋商小组应当在评标报告上签字，对自己的评审意见承担法律责任。磋商小组</w:t>
      </w:r>
      <w:r>
        <w:rPr>
          <w:rFonts w:hint="eastAsia" w:ascii="宋体" w:hAnsi="宋体" w:eastAsia="宋体" w:cs="宋体"/>
          <w:color w:val="000000" w:themeColor="text1"/>
          <w:highlight w:val="none"/>
          <w14:textFill>
            <w14:solidFill>
              <w14:schemeClr w14:val="tx1"/>
            </w14:solidFill>
          </w14:textFill>
        </w:rPr>
        <w:t>成员对需要共同认定的事项存在争议的，应当按照少数服从多数的原则作出结论。持不同意见的磋商小组成员应当在评标报告上签署不同意见及理由，否则视为同意评标报告。</w:t>
      </w:r>
    </w:p>
    <w:bookmarkEnd w:id="37"/>
    <w:p w14:paraId="18E6C97E">
      <w:pPr>
        <w:numPr>
          <w:ilvl w:val="0"/>
          <w:numId w:val="5"/>
        </w:num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应当自评审结束之日起2个工作日内将评标报告送交采购人。采购人在收到评审报告5个工作日内，从评审报告推荐的成交候选人中，按顺序确定成交人。成交候选人并列的，磋商报价得分高者成为中标人，若投标报价得分相同，技术得分高者成为成交人。确定结果后，采购人向采购代理机构出具《定标复函》。采购人逾期未按评标报告推荐的中标候选人顺序确定成交人，又不能说明合法理由的，视同按评标报告推荐的顺序确定排名第一的成交候选人为成交人。</w:t>
      </w:r>
    </w:p>
    <w:p w14:paraId="057F6F06">
      <w:pPr>
        <w:numPr>
          <w:ilvl w:val="0"/>
          <w:numId w:val="5"/>
        </w:num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采购代理机构接到采购人的《定标复函》后，在2个工作日内，将成交结果在陕西省政府采购网上进行公告。公告发布1个工作日，其他供应商若有异议，按《</w:t>
      </w:r>
      <w:r>
        <w:rPr>
          <w:rFonts w:hint="eastAsia" w:ascii="宋体" w:hAnsi="宋体" w:eastAsia="宋体" w:cs="宋体"/>
          <w:color w:val="000000" w:themeColor="text1"/>
          <w:szCs w:val="24"/>
          <w:highlight w:val="none"/>
          <w:lang w:val="en-US" w:eastAsia="zh-CN"/>
          <w14:textFill>
            <w14:solidFill>
              <w14:schemeClr w14:val="tx1"/>
            </w14:solidFill>
          </w14:textFill>
        </w:rPr>
        <w:t>中华人民共和国</w:t>
      </w:r>
      <w:r>
        <w:rPr>
          <w:rFonts w:hint="eastAsia" w:ascii="宋体" w:hAnsi="宋体" w:eastAsia="宋体" w:cs="宋体"/>
          <w:color w:val="000000" w:themeColor="text1"/>
          <w:szCs w:val="24"/>
          <w:highlight w:val="none"/>
          <w14:textFill>
            <w14:solidFill>
              <w14:schemeClr w14:val="tx1"/>
            </w14:solidFill>
          </w14:textFill>
        </w:rPr>
        <w:t>政府采购法》第52条执行。</w:t>
      </w:r>
    </w:p>
    <w:p w14:paraId="2ED4AD9F">
      <w:pPr>
        <w:spacing w:line="560" w:lineRule="exact"/>
        <w:ind w:firstLine="600" w:firstLineChars="25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3-2、成交人确定后，采购人和采购代理机构对未成交原因不作任何解释。</w:t>
      </w:r>
    </w:p>
    <w:p w14:paraId="3FF99C20">
      <w:pPr>
        <w:adjustRightInd w:val="0"/>
        <w:snapToGrid w:val="0"/>
        <w:spacing w:line="560" w:lineRule="exact"/>
        <w:ind w:firstLine="482" w:firstLineChars="200"/>
        <w:rPr>
          <w:rFonts w:ascii="宋体" w:hAnsi="宋体" w:eastAsia="宋体" w:cs="宋体"/>
          <w:color w:val="000000" w:themeColor="text1"/>
          <w:szCs w:val="24"/>
          <w:highlight w:val="none"/>
          <w14:textFill>
            <w14:solidFill>
              <w14:schemeClr w14:val="tx1"/>
            </w14:solidFill>
          </w14:textFill>
        </w:rPr>
      </w:pPr>
      <w:bookmarkStart w:id="38" w:name="_Toc458617738"/>
      <w:bookmarkStart w:id="39" w:name="_Toc458617461"/>
      <w:r>
        <w:rPr>
          <w:rFonts w:hint="eastAsia" w:ascii="宋体" w:hAnsi="宋体" w:eastAsia="宋体" w:cs="宋体"/>
          <w:b/>
          <w:color w:val="000000" w:themeColor="text1"/>
          <w:szCs w:val="24"/>
          <w:highlight w:val="none"/>
          <w14:textFill>
            <w14:solidFill>
              <w14:schemeClr w14:val="tx1"/>
            </w14:solidFill>
          </w14:textFill>
        </w:rPr>
        <w:t>4、投标无效的情形：</w:t>
      </w:r>
    </w:p>
    <w:p w14:paraId="4F9BB8D9">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4-1、未按照竞争性磋商文件的规定提交磋商保证金的；</w:t>
      </w:r>
    </w:p>
    <w:p w14:paraId="27CAD141">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4-2、响应文件未按竞争性磋商文件要求签署、盖章的；</w:t>
      </w:r>
    </w:p>
    <w:p w14:paraId="79B71FEC">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4-3、不具备竞争性磋商文件中规定的资格要求的；</w:t>
      </w:r>
    </w:p>
    <w:p w14:paraId="479366AB">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4-4、报价超过竞争性磋商文件中规定的项目采购预算</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最高限价</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的；</w:t>
      </w:r>
    </w:p>
    <w:p w14:paraId="43FDB4DA">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4-5、响应文件含有采购人不能接受的附加条件的；</w:t>
      </w:r>
    </w:p>
    <w:p w14:paraId="55ECC9A4">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4-6、</w:t>
      </w:r>
      <w:r>
        <w:rPr>
          <w:rFonts w:hint="eastAsia" w:ascii="宋体" w:hAnsi="宋体" w:eastAsia="宋体" w:cs="宋体"/>
          <w:color w:val="000000" w:themeColor="text1"/>
          <w:kern w:val="0"/>
          <w:szCs w:val="24"/>
          <w:highlight w:val="none"/>
          <w14:textFill>
            <w14:solidFill>
              <w14:schemeClr w14:val="tx1"/>
            </w14:solidFill>
          </w14:textFill>
        </w:rPr>
        <w:t>提供虚假材料谋取中标的；</w:t>
      </w:r>
    </w:p>
    <w:p w14:paraId="7BC12484">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4-7、采取不正当手段诋毁、排挤其他供应商的；</w:t>
      </w:r>
    </w:p>
    <w:p w14:paraId="186DD602">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4-8、</w:t>
      </w:r>
      <w:r>
        <w:rPr>
          <w:rFonts w:hint="eastAsia" w:ascii="宋体" w:hAnsi="宋体" w:eastAsia="宋体" w:cs="宋体"/>
          <w:color w:val="000000" w:themeColor="text1"/>
          <w:szCs w:val="24"/>
          <w:highlight w:val="none"/>
          <w14:textFill>
            <w14:solidFill>
              <w14:schemeClr w14:val="tx1"/>
            </w14:solidFill>
          </w14:textFill>
        </w:rPr>
        <w:t>法律、法规和竞争性磋商文件规定的其他无效情形。</w:t>
      </w:r>
    </w:p>
    <w:p w14:paraId="5D7EE0A5">
      <w:pPr>
        <w:spacing w:line="560" w:lineRule="exact"/>
        <w:ind w:firstLine="472" w:firstLineChars="196"/>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5、成交通知</w:t>
      </w:r>
      <w:bookmarkEnd w:id="38"/>
      <w:bookmarkEnd w:id="39"/>
      <w:r>
        <w:rPr>
          <w:rFonts w:hint="eastAsia" w:ascii="宋体" w:hAnsi="宋体" w:eastAsia="宋体" w:cs="宋体"/>
          <w:b/>
          <w:color w:val="000000" w:themeColor="text1"/>
          <w:szCs w:val="24"/>
          <w:highlight w:val="none"/>
          <w14:textFill>
            <w14:solidFill>
              <w14:schemeClr w14:val="tx1"/>
            </w14:solidFill>
          </w14:textFill>
        </w:rPr>
        <w:t>书</w:t>
      </w:r>
    </w:p>
    <w:p w14:paraId="0D74C0D9">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5-1、成交通知书将在成交结果公告发布的同时由采购代理机构发出。</w:t>
      </w:r>
    </w:p>
    <w:p w14:paraId="17F332E5">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5-2、成交人应在接到采购代理机构通知之日起七日内领取成交通知书。</w:t>
      </w:r>
      <w:r>
        <w:rPr>
          <w:rFonts w:hint="eastAsia" w:ascii="宋体" w:hAnsi="宋体" w:eastAsia="宋体" w:cs="宋体"/>
          <w:b/>
          <w:bCs/>
          <w:color w:val="000000" w:themeColor="text1"/>
          <w:szCs w:val="24"/>
          <w:highlight w:val="none"/>
          <w14:textFill>
            <w14:solidFill>
              <w14:schemeClr w14:val="tx1"/>
            </w14:solidFill>
          </w14:textFill>
        </w:rPr>
        <w:t>未在规定时间内领取成交通知书的，磋商保证金不予退还。</w:t>
      </w:r>
      <w:bookmarkStart w:id="40" w:name="_Toc458617739"/>
      <w:bookmarkStart w:id="41" w:name="_Toc458617790"/>
      <w:bookmarkStart w:id="42" w:name="_Toc458617462"/>
    </w:p>
    <w:p w14:paraId="39ACA0E3">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5-3、</w:t>
      </w:r>
      <w:r>
        <w:rPr>
          <w:rFonts w:hint="eastAsia" w:ascii="宋体" w:hAnsi="宋体" w:eastAsia="宋体" w:cs="宋体"/>
          <w:color w:val="000000" w:themeColor="text1"/>
          <w:kern w:val="0"/>
          <w:szCs w:val="24"/>
          <w:highlight w:val="none"/>
          <w14:textFill>
            <w14:solidFill>
              <w14:schemeClr w14:val="tx1"/>
            </w14:solidFill>
          </w14:textFill>
        </w:rPr>
        <w:t>成交通知书发出后，采购人不得违法改变成交结果，成交人无正当理由不得放弃成交。</w:t>
      </w:r>
    </w:p>
    <w:p w14:paraId="3B41DF50">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43" w:name="_Toc21188"/>
      <w:r>
        <w:rPr>
          <w:rFonts w:hint="eastAsia" w:ascii="宋体" w:hAnsi="宋体" w:eastAsia="宋体" w:cs="宋体"/>
          <w:color w:val="000000" w:themeColor="text1"/>
          <w:kern w:val="0"/>
          <w:sz w:val="28"/>
          <w:szCs w:val="28"/>
          <w:highlight w:val="none"/>
          <w14:textFill>
            <w14:solidFill>
              <w14:schemeClr w14:val="tx1"/>
            </w14:solidFill>
          </w14:textFill>
        </w:rPr>
        <w:t>八、合同</w:t>
      </w:r>
      <w:bookmarkEnd w:id="40"/>
      <w:bookmarkEnd w:id="41"/>
      <w:bookmarkEnd w:id="42"/>
      <w:bookmarkEnd w:id="43"/>
    </w:p>
    <w:p w14:paraId="69BBE6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人在收到</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通知书后25日内，应按竞争性磋商文件的要求与采购人签订合同。</w:t>
      </w:r>
    </w:p>
    <w:p w14:paraId="2B08841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成交人因自身原因不按规定与采购人签订供货合同或者拒绝与采购人签订合同的，则采购人将废除授标，磋商保证金不予退还。给采购人造成损失超过磋商保证金额的，还应当对超过部分予以赔偿，并依法承担相应法律责任。</w:t>
      </w:r>
      <w:r>
        <w:rPr>
          <w:rFonts w:hint="eastAsia" w:ascii="宋体" w:hAnsi="宋体" w:eastAsia="宋体" w:cs="宋体"/>
          <w:color w:val="000000" w:themeColor="text1"/>
          <w:highlight w:val="none"/>
          <w14:textFill>
            <w14:solidFill>
              <w14:schemeClr w14:val="tx1"/>
            </w14:solidFill>
          </w14:textFill>
        </w:rPr>
        <w:t>同时，采购人可以按照评审报告推荐的中标候选人名单排序，确定下一候选人为中标人，</w:t>
      </w:r>
      <w:r>
        <w:rPr>
          <w:rFonts w:hint="eastAsia" w:ascii="宋体" w:hAnsi="宋体" w:eastAsia="宋体" w:cs="宋体"/>
          <w:color w:val="000000" w:themeColor="text1"/>
          <w:szCs w:val="24"/>
          <w:highlight w:val="none"/>
          <w14:textFill>
            <w14:solidFill>
              <w14:schemeClr w14:val="tx1"/>
            </w14:solidFill>
          </w14:textFill>
        </w:rPr>
        <w:t>以此类推，</w:t>
      </w:r>
      <w:r>
        <w:rPr>
          <w:rFonts w:hint="eastAsia" w:ascii="宋体" w:hAnsi="宋体" w:eastAsia="宋体" w:cs="宋体"/>
          <w:color w:val="000000" w:themeColor="text1"/>
          <w:highlight w:val="none"/>
          <w14:textFill>
            <w14:solidFill>
              <w14:schemeClr w14:val="tx1"/>
            </w14:solidFill>
          </w14:textFill>
        </w:rPr>
        <w:t>也可以重新开展政府采购活动。</w:t>
      </w:r>
      <w:r>
        <w:rPr>
          <w:rFonts w:hint="eastAsia" w:ascii="宋体" w:hAnsi="宋体" w:eastAsia="宋体" w:cs="宋体"/>
          <w:color w:val="000000" w:themeColor="text1"/>
          <w:szCs w:val="24"/>
          <w:highlight w:val="none"/>
          <w14:textFill>
            <w14:solidFill>
              <w14:schemeClr w14:val="tx1"/>
            </w14:solidFill>
          </w14:textFill>
        </w:rPr>
        <w:t>因自身原因拒绝签订政府采购合同的或者未按合同约定进行履约的，中标人不得参加对该项目重新开展的招标活动。</w:t>
      </w:r>
    </w:p>
    <w:p w14:paraId="68E7845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通知书将是合同的重要组成部分。竞争性磋商文件、中标人的响应文件及评议过程中有关的澄清文件均作为合同附件。</w:t>
      </w:r>
    </w:p>
    <w:p w14:paraId="0913EF3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后，</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人应按照合同约定履行义务，完成招标项目的采购要求，经采购人同意，</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人可以依法采取分包方式履行合同。分包部分为</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项目的部分非主体、非关键性工作。接受分包的供应商应当具备相应的资格条件，并不得再次分包。分包履行的，中标人就采购项目和分包项目向采购人负责，分包供应商就分包项目承担责任。中小企业根据《政府采购促进中小企业发展管理办法》（财库〔2020〕46号）、《关于进一步加大政府采购支持中小企业力度的通知》（财库〔2022〕19号）、《关于进一步落实政府采购支持中小企业相关政策的通知》(陕财办采 (2023) 3号规定的政策获取政府采购合同后，小型、微型企业不得分包或转包给大型、中型企业，中型企业不得分包或转包给大型企业。</w:t>
      </w:r>
    </w:p>
    <w:p w14:paraId="04143D9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5、所签订的合同不得对竞争性磋商文件确定的事项和中标人响应文件作实质性修改。</w:t>
      </w:r>
    </w:p>
    <w:p w14:paraId="23F2189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6、采购人需追加与合同标的相同的货物、工程或服务的，在不改变合同其他条款的前提下，可以与中标人协商签订补充合同，但所有补充合同的采购金额不得超过原合同采购金额的百分之十。</w:t>
      </w:r>
      <w:bookmarkStart w:id="44" w:name="_Toc458617463"/>
      <w:bookmarkStart w:id="45" w:name="_Toc458617740"/>
    </w:p>
    <w:p w14:paraId="02B6F18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w:t>
      </w:r>
      <w:bookmarkStart w:id="46" w:name="_Toc3780"/>
      <w:r>
        <w:rPr>
          <w:rFonts w:hint="eastAsia" w:ascii="宋体" w:hAnsi="宋体" w:eastAsia="宋体" w:cs="宋体"/>
          <w:color w:val="000000" w:themeColor="text1"/>
          <w:szCs w:val="24"/>
          <w:highlight w:val="none"/>
          <w:lang w:eastAsia="zh-CN"/>
          <w14:textFill>
            <w14:solidFill>
              <w14:schemeClr w14:val="tx1"/>
            </w14:solidFill>
          </w14:textFill>
        </w:rPr>
        <w:t>付款方式：项目结束后,经对项目抽查满意度达合格后支付全部合同价款。</w:t>
      </w:r>
    </w:p>
    <w:p w14:paraId="22E30C46">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九</w:t>
      </w:r>
      <w:r>
        <w:rPr>
          <w:rFonts w:hint="eastAsia" w:ascii="宋体" w:hAnsi="宋体" w:eastAsia="宋体" w:cs="宋体"/>
          <w:color w:val="000000" w:themeColor="text1"/>
          <w:kern w:val="0"/>
          <w:sz w:val="28"/>
          <w:szCs w:val="28"/>
          <w:highlight w:val="none"/>
          <w14:textFill>
            <w14:solidFill>
              <w14:schemeClr w14:val="tx1"/>
            </w14:solidFill>
          </w14:textFill>
        </w:rPr>
        <w:t>、合同的履约验收</w:t>
      </w:r>
      <w:bookmarkEnd w:id="46"/>
    </w:p>
    <w:p w14:paraId="0A0539BF">
      <w:pPr>
        <w:spacing w:line="56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采购人应按照政府采购合同约定的技术、服务、安全标准组织对供应商每一项技术、服务、安全标准的履约情况进行验收，并出具验收书。</w:t>
      </w:r>
    </w:p>
    <w:bookmarkEnd w:id="44"/>
    <w:bookmarkEnd w:id="45"/>
    <w:p w14:paraId="3E0902B4">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47" w:name="_Toc20000"/>
      <w:bookmarkStart w:id="48" w:name="_Toc30842"/>
      <w:bookmarkStart w:id="49" w:name="_Toc458617465"/>
      <w:bookmarkStart w:id="50" w:name="_Toc458617742"/>
      <w:r>
        <w:rPr>
          <w:rFonts w:hint="eastAsia" w:ascii="宋体" w:hAnsi="宋体" w:eastAsia="宋体" w:cs="宋体"/>
          <w:color w:val="000000" w:themeColor="text1"/>
          <w:kern w:val="0"/>
          <w:sz w:val="28"/>
          <w:szCs w:val="28"/>
          <w:highlight w:val="none"/>
          <w14:textFill>
            <w14:solidFill>
              <w14:schemeClr w14:val="tx1"/>
            </w14:solidFill>
          </w14:textFill>
        </w:rPr>
        <w:t>十、重新组织采购活动</w:t>
      </w:r>
      <w:bookmarkEnd w:id="47"/>
      <w:bookmarkEnd w:id="48"/>
    </w:p>
    <w:p w14:paraId="134CFB4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如果发生下列情况之一，采购人和采购代理机构将按《</w:t>
      </w:r>
      <w:r>
        <w:rPr>
          <w:rFonts w:hint="eastAsia" w:ascii="宋体" w:hAnsi="宋体" w:eastAsia="宋体" w:cs="宋体"/>
          <w:color w:val="000000" w:themeColor="text1"/>
          <w:szCs w:val="24"/>
          <w:highlight w:val="none"/>
          <w:lang w:val="en-US" w:eastAsia="zh-CN"/>
          <w14:textFill>
            <w14:solidFill>
              <w14:schemeClr w14:val="tx1"/>
            </w14:solidFill>
          </w14:textFill>
        </w:rPr>
        <w:t>中华人民共和国</w:t>
      </w:r>
      <w:r>
        <w:rPr>
          <w:rFonts w:hint="eastAsia" w:ascii="宋体" w:hAnsi="宋体" w:eastAsia="宋体" w:cs="宋体"/>
          <w:color w:val="000000" w:themeColor="text1"/>
          <w:szCs w:val="24"/>
          <w:highlight w:val="none"/>
          <w14:textFill>
            <w14:solidFill>
              <w14:schemeClr w14:val="tx1"/>
            </w14:solidFill>
          </w14:textFill>
        </w:rPr>
        <w:t>政府采购法》、《政府采购货物和服务招标投标管理办法》（财政部第87号）等有关规定重新组织采购活动：</w:t>
      </w:r>
    </w:p>
    <w:p w14:paraId="6094D94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（1）因重大变故，采购任务取消的；</w:t>
      </w:r>
    </w:p>
    <w:p w14:paraId="6ED96FA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（2）竞争性磋商文件存在不合理条款或者招标程序不符合规定的；</w:t>
      </w:r>
    </w:p>
    <w:p w14:paraId="3A16847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（3）出现影响采购公正的违法、违规行为的；</w:t>
      </w:r>
    </w:p>
    <w:p w14:paraId="4711EE4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（4）投标截止后供应商不足3家或者通过资格审查或符合性审查的供应商不足3家的；</w:t>
      </w:r>
    </w:p>
    <w:p w14:paraId="0F1B95D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（5）所有供应商的报价均超出项目采购预算，采购人不能支付的。</w:t>
      </w:r>
    </w:p>
    <w:p w14:paraId="29D10FDB">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51" w:name="_Toc28121"/>
      <w:r>
        <w:rPr>
          <w:rFonts w:hint="eastAsia" w:ascii="宋体" w:hAnsi="宋体" w:eastAsia="宋体" w:cs="宋体"/>
          <w:color w:val="000000" w:themeColor="text1"/>
          <w:kern w:val="0"/>
          <w:sz w:val="28"/>
          <w:szCs w:val="28"/>
          <w:highlight w:val="none"/>
          <w14:textFill>
            <w14:solidFill>
              <w14:schemeClr w14:val="tx1"/>
            </w14:solidFill>
          </w14:textFill>
        </w:rPr>
        <w:t>十</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一</w:t>
      </w:r>
      <w:r>
        <w:rPr>
          <w:rFonts w:hint="eastAsia" w:ascii="宋体" w:hAnsi="宋体" w:eastAsia="宋体" w:cs="宋体"/>
          <w:color w:val="000000" w:themeColor="text1"/>
          <w:kern w:val="0"/>
          <w:sz w:val="28"/>
          <w:szCs w:val="28"/>
          <w:highlight w:val="none"/>
          <w14:textFill>
            <w14:solidFill>
              <w14:schemeClr w14:val="tx1"/>
            </w14:solidFill>
          </w14:textFill>
        </w:rPr>
        <w:t>、</w:t>
      </w:r>
      <w:bookmarkEnd w:id="49"/>
      <w:bookmarkEnd w:id="50"/>
      <w:bookmarkStart w:id="52" w:name="_Toc458617466"/>
      <w:bookmarkStart w:id="53" w:name="_Toc458617743"/>
      <w:r>
        <w:rPr>
          <w:rFonts w:hint="eastAsia" w:ascii="宋体" w:hAnsi="宋体" w:eastAsia="宋体" w:cs="宋体"/>
          <w:color w:val="000000" w:themeColor="text1"/>
          <w:kern w:val="0"/>
          <w:sz w:val="28"/>
          <w:szCs w:val="28"/>
          <w:highlight w:val="none"/>
          <w14:textFill>
            <w14:solidFill>
              <w14:schemeClr w14:val="tx1"/>
            </w14:solidFill>
          </w14:textFill>
        </w:rPr>
        <w:t>询问、质疑与投诉</w:t>
      </w:r>
      <w:bookmarkEnd w:id="51"/>
    </w:p>
    <w:p w14:paraId="24209D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54" w:name="_Toc26443"/>
      <w:r>
        <w:rPr>
          <w:rFonts w:hint="eastAsia" w:ascii="宋体" w:hAnsi="宋体" w:eastAsia="宋体" w:cs="宋体"/>
          <w:color w:val="000000" w:themeColor="text1"/>
          <w:szCs w:val="24"/>
          <w:highlight w:val="none"/>
          <w14:textFill>
            <w14:solidFill>
              <w14:schemeClr w14:val="tx1"/>
            </w14:solidFill>
          </w14:textFill>
        </w:rPr>
        <w:t>1.询问</w:t>
      </w:r>
    </w:p>
    <w:p w14:paraId="50487D85">
      <w:pPr>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供应商对政府采购活动事项有疑问的，可以向采购代理机构或采购人提出询问。采购代理机构或采购人将在3个工作日内对供应商依法提出的询问作出答复。</w:t>
      </w:r>
    </w:p>
    <w:p w14:paraId="569E7A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供应商提出的询问超出采购人对采购代理机构委托授权范围的，采购代理机构将告知供应商向采购人提出。</w:t>
      </w:r>
    </w:p>
    <w:p w14:paraId="03C0DBF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2.质疑和投诉</w:t>
      </w:r>
    </w:p>
    <w:p w14:paraId="08F6602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认为竞争性磋商文件、招标过程使自身的合法权益受到损害，可以在知道或者应当知道其自身权益收到损害之日起七个工作日，以书面形式（纸质版加盖公章）向采购代理机构或采购人提出质疑。供应商认为中标结果使自身的合法权益受到损害，可以在开标后7日内，以书面形式（纸质版加盖公章）向采购代理机构或采购人提出质疑。</w:t>
      </w:r>
    </w:p>
    <w:p w14:paraId="66F83F6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2.1、质疑书应当包括以下主要内容：被质疑项目名称、项目编号、标段、招标公告/中标公告发布时间、质疑事项、证据材料、法律依据（具体条款）、质疑人有效联系方式等。</w:t>
      </w:r>
    </w:p>
    <w:p w14:paraId="46FB08D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2.2、质疑书应当由法定代表人签字并加盖公章，公章不得以合同章或其他印章代替。质疑人可以委托代理人办理质疑事项，代理人办理质疑事项时，除提交质疑书外，还应当提交质疑人的授权委托书及代理人的有效身份证明，授权委托书应当载明委托代理的具体权限和事项。</w:t>
      </w:r>
    </w:p>
    <w:p w14:paraId="28F9FFD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2.3.有下列情形之一的，属于无效质疑，采购代理机构和采购人不予受理：</w:t>
      </w:r>
    </w:p>
    <w:p w14:paraId="50FC801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（1）质疑人不是参与本次政府采购项目的供应商/供应商或潜在供应商/供应商；</w:t>
      </w:r>
    </w:p>
    <w:p w14:paraId="2AFECD1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（2）质疑人与质疑事项不存在利害关系的；</w:t>
      </w:r>
    </w:p>
    <w:p w14:paraId="5820ED8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（3）未在法定期限内提出质疑的；</w:t>
      </w:r>
    </w:p>
    <w:p w14:paraId="077D1EE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（4）质疑未以书面形式提出，或质疑书主要内容构成不完整的；</w:t>
      </w:r>
    </w:p>
    <w:p w14:paraId="2D2E6A5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（5）质疑书没有合法有效的签字、盖章或授权的；</w:t>
      </w:r>
    </w:p>
    <w:p w14:paraId="7040E0C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（6）以非法手段取得证据、材料的；</w:t>
      </w:r>
    </w:p>
    <w:p w14:paraId="3EAA12C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（7）质疑答复后，同一质疑人就同一事项再次提出质疑的；</w:t>
      </w:r>
    </w:p>
    <w:p w14:paraId="2ACAB9C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（8）不符合法律、法规、规章和监管机构规定的其他条件的。</w:t>
      </w:r>
    </w:p>
    <w:p w14:paraId="4BA46CCC">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2.4、采购代理机构或采购人将在收到书面质疑后7个工作日内做出答复，并以书面形式通知质疑人和其他有关供应商。</w:t>
      </w:r>
    </w:p>
    <w:p w14:paraId="650AFE76">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质疑人对采购代理机构或采购人的答复不满意，以及采购代理机构或采购人未在规定时间内做出答复的，可以在答复期满后15个工作日内按照《政府采购质疑和投诉办法》（财政部94号令）相关规定向政府采购监管机构提出投诉。供应商投诉的事项不得超出已质疑事项的范围。</w:t>
      </w:r>
    </w:p>
    <w:p w14:paraId="24437654">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2.6、对捏造事实、提供虚假材料进行质疑、投诉的行为予以严肃处理：</w:t>
      </w:r>
    </w:p>
    <w:p w14:paraId="0CC63AC9">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336383B5">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2.7、对捏造事实诬告陷害他人、诽谤他人的法律适用：</w:t>
      </w:r>
    </w:p>
    <w:p w14:paraId="4316F3E1">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35B5F67F">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7DD7EB6C">
      <w:pPr>
        <w:keepNext w:val="0"/>
        <w:keepLines w:val="0"/>
        <w:pageBreakBefore w:val="0"/>
        <w:widowControl w:val="0"/>
        <w:kinsoku/>
        <w:wordWrap/>
        <w:overflowPunct/>
        <w:topLinePunct w:val="0"/>
        <w:autoSpaceDE/>
        <w:autoSpaceDN/>
        <w:bidi w:val="0"/>
        <w:adjustRightInd/>
        <w:snapToGrid/>
        <w:spacing w:line="540" w:lineRule="exact"/>
        <w:textAlignment w:val="auto"/>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十</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二</w:t>
      </w:r>
      <w:r>
        <w:rPr>
          <w:rFonts w:hint="eastAsia" w:ascii="宋体" w:hAnsi="宋体" w:eastAsia="宋体" w:cs="宋体"/>
          <w:color w:val="000000" w:themeColor="text1"/>
          <w:kern w:val="0"/>
          <w:sz w:val="28"/>
          <w:szCs w:val="28"/>
          <w:highlight w:val="none"/>
          <w14:textFill>
            <w14:solidFill>
              <w14:schemeClr w14:val="tx1"/>
            </w14:solidFill>
          </w14:textFill>
        </w:rPr>
        <w:t>、拒绝商业贿赂</w:t>
      </w:r>
      <w:bookmarkEnd w:id="52"/>
      <w:bookmarkEnd w:id="53"/>
      <w:bookmarkEnd w:id="54"/>
    </w:p>
    <w:p w14:paraId="5B6901DA">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1、遵照陕西省财政厅的规定，采购人、采购代理机构、供应商和评审专家在招投标活动中，都要签订相应的《陕西省政府采购供应商拒绝政府采购领域商业贿赂承诺书》，并对违反承诺的行为承担全部责任。</w:t>
      </w:r>
    </w:p>
    <w:p w14:paraId="50F390C8">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2、供应商必须填写《陕西省政府采购供应商拒绝政府采购领域商业贿赂承诺书》并附在响应文件中，同时应保证响应文件正、副本中一致。</w:t>
      </w:r>
    </w:p>
    <w:p w14:paraId="5EF2193D">
      <w:pPr>
        <w:tabs>
          <w:tab w:val="left" w:pos="3105"/>
        </w:tabs>
        <w:spacing w:line="360" w:lineRule="auto"/>
        <w:rPr>
          <w:rFonts w:ascii="宋体" w:hAnsi="宋体" w:eastAsia="宋体" w:cs="宋体"/>
          <w:sz w:val="32"/>
          <w:szCs w:val="32"/>
          <w:highlight w:val="none"/>
        </w:rPr>
      </w:pPr>
      <w:bookmarkStart w:id="55" w:name="_Toc458617469"/>
      <w:bookmarkStart w:id="56" w:name="_Toc458617746"/>
      <w:r>
        <w:rPr>
          <w:rFonts w:hint="eastAsia" w:ascii="宋体" w:hAnsi="宋体" w:eastAsia="宋体" w:cs="宋体"/>
          <w:sz w:val="32"/>
          <w:szCs w:val="32"/>
          <w:highlight w:val="none"/>
        </w:rPr>
        <w:tab/>
      </w:r>
    </w:p>
    <w:p w14:paraId="7149BD00">
      <w:pPr>
        <w:rPr>
          <w:rFonts w:ascii="宋体" w:hAnsi="宋体" w:eastAsia="宋体" w:cs="宋体"/>
          <w:sz w:val="32"/>
          <w:szCs w:val="32"/>
          <w:highlight w:val="none"/>
        </w:rPr>
      </w:pPr>
      <w:r>
        <w:rPr>
          <w:rFonts w:hint="eastAsia" w:ascii="宋体" w:hAnsi="宋体" w:eastAsia="宋体" w:cs="宋体"/>
          <w:sz w:val="32"/>
          <w:szCs w:val="32"/>
          <w:highlight w:val="none"/>
        </w:rPr>
        <w:br w:type="page"/>
      </w:r>
    </w:p>
    <w:p w14:paraId="5A525D74">
      <w:pPr>
        <w:tabs>
          <w:tab w:val="left" w:pos="1245"/>
        </w:tabs>
        <w:jc w:val="center"/>
        <w:outlineLvl w:val="0"/>
        <w:rPr>
          <w:rFonts w:ascii="宋体" w:hAnsi="宋体" w:eastAsia="宋体" w:cs="宋体"/>
          <w:b/>
          <w:kern w:val="0"/>
          <w:sz w:val="32"/>
          <w:szCs w:val="32"/>
          <w:highlight w:val="none"/>
        </w:rPr>
      </w:pPr>
      <w:bookmarkStart w:id="57" w:name="_Toc8058"/>
      <w:bookmarkStart w:id="58" w:name="_Toc129703222"/>
      <w:bookmarkStart w:id="59" w:name="_Toc19316"/>
      <w:r>
        <w:rPr>
          <w:rFonts w:hint="eastAsia" w:ascii="宋体" w:hAnsi="宋体" w:eastAsia="宋体" w:cs="宋体"/>
          <w:b/>
          <w:bCs/>
          <w:color w:val="000000" w:themeColor="text1"/>
          <w:kern w:val="0"/>
          <w:sz w:val="36"/>
          <w:szCs w:val="36"/>
          <w:highlight w:val="none"/>
          <w14:textFill>
            <w14:solidFill>
              <w14:schemeClr w14:val="tx1"/>
            </w14:solidFill>
          </w14:textFill>
        </w:rPr>
        <w:t xml:space="preserve">第三章  </w:t>
      </w:r>
      <w:bookmarkEnd w:id="57"/>
      <w:bookmarkEnd w:id="58"/>
      <w:r>
        <w:rPr>
          <w:rFonts w:hint="eastAsia" w:ascii="宋体" w:hAnsi="宋体" w:eastAsia="宋体" w:cs="宋体"/>
          <w:b/>
          <w:bCs/>
          <w:color w:val="000000" w:themeColor="text1"/>
          <w:kern w:val="0"/>
          <w:sz w:val="36"/>
          <w:szCs w:val="36"/>
          <w:highlight w:val="none"/>
          <w14:textFill>
            <w14:solidFill>
              <w14:schemeClr w14:val="tx1"/>
            </w14:solidFill>
          </w14:textFill>
        </w:rPr>
        <w:t>采购内容及要求</w:t>
      </w:r>
      <w:bookmarkEnd w:id="55"/>
      <w:bookmarkEnd w:id="56"/>
      <w:bookmarkEnd w:id="59"/>
    </w:p>
    <w:p w14:paraId="48BDDD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Cs w:val="24"/>
          <w:highlight w:val="none"/>
          <w:lang w:val="en-US" w:eastAsia="zh-CN"/>
          <w14:textFill>
            <w14:solidFill>
              <w14:schemeClr w14:val="tx1"/>
            </w14:solidFill>
          </w14:textFill>
        </w:rPr>
      </w:pPr>
      <w:bookmarkStart w:id="60" w:name="_Toc13824"/>
      <w:bookmarkStart w:id="61" w:name="_Toc129703223"/>
      <w:r>
        <w:rPr>
          <w:rFonts w:hint="eastAsia" w:ascii="宋体" w:hAnsi="宋体" w:eastAsia="宋体" w:cs="宋体"/>
          <w:b/>
          <w:bCs/>
          <w:color w:val="000000" w:themeColor="text1"/>
          <w:szCs w:val="24"/>
          <w:highlight w:val="none"/>
          <w:lang w:val="en-US" w:eastAsia="zh-CN"/>
          <w14:textFill>
            <w14:solidFill>
              <w14:schemeClr w14:val="tx1"/>
            </w14:solidFill>
          </w14:textFill>
        </w:rPr>
        <w:t>一</w:t>
      </w:r>
      <w:r>
        <w:rPr>
          <w:rFonts w:hint="eastAsia" w:ascii="宋体" w:hAnsi="宋体" w:eastAsia="宋体" w:cs="宋体"/>
          <w:b/>
          <w:bCs/>
          <w:color w:val="000000" w:themeColor="text1"/>
          <w:szCs w:val="24"/>
          <w:highlight w:val="none"/>
          <w14:textFill>
            <w14:solidFill>
              <w14:schemeClr w14:val="tx1"/>
            </w14:solidFill>
          </w14:textFill>
        </w:rPr>
        <w:t>、</w:t>
      </w:r>
      <w:r>
        <w:rPr>
          <w:rFonts w:hint="eastAsia" w:ascii="宋体" w:hAnsi="宋体" w:eastAsia="宋体" w:cs="宋体"/>
          <w:b/>
          <w:bCs/>
          <w:color w:val="000000" w:themeColor="text1"/>
          <w:szCs w:val="24"/>
          <w:highlight w:val="none"/>
          <w:lang w:val="en-US" w:eastAsia="zh-CN"/>
          <w14:textFill>
            <w14:solidFill>
              <w14:schemeClr w14:val="tx1"/>
            </w14:solidFill>
          </w14:textFill>
        </w:rPr>
        <w:t>采购内容</w:t>
      </w:r>
    </w:p>
    <w:p w14:paraId="2E66EED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一）服务对象</w:t>
      </w:r>
    </w:p>
    <w:p w14:paraId="430582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具有本县户籍且长期居住、年满60周岁及以上的经济困难中的轻度失能、中度失能、重度失能和完全失能老年人。</w:t>
      </w:r>
    </w:p>
    <w:p w14:paraId="0FC152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经济困难是指家庭人均收入符合低保、低保边缘标准，可视情扩大到本地区人均可支配收入统计口径的低收入组和中间偏下收入组。</w:t>
      </w:r>
    </w:p>
    <w:p w14:paraId="4D6145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服务对象应优先保障符合以上条件老年人中的高龄、孤寡、独居、重度残疾、计划生育特殊家庭和优抚对象。</w:t>
      </w:r>
    </w:p>
    <w:p w14:paraId="00B4C0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（二）服务内容</w:t>
      </w:r>
    </w:p>
    <w:p w14:paraId="7DC382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居家养老上门服务：根据老年人能力评估情况，为有需求的老年人提供助餐、助浴、助洁、助行、助医、助急等居家养老上门服务。支持符合条件的老年人开展家庭养老床位改造并同时享受居家养老上门服务，统计任务时分别计算。助餐、送餐为必选项，优先保障老年人用餐等基本服务需求。</w:t>
      </w:r>
    </w:p>
    <w:p w14:paraId="177BAA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（三）服务标准</w:t>
      </w:r>
    </w:p>
    <w:p w14:paraId="260DA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1、老年人能力评估标准：依据《老年人能力评估规范》（GB/T42195-2022）要求实施，已有评估结果的老年人，可不再进行评估。</w:t>
      </w:r>
    </w:p>
    <w:p w14:paraId="326C9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2、居家养老上门服务标准：居家养老上门服务的1人次是指项目执行时间内为同一服务对象累计提供30次以上居家养老上门服务（服务人员一次上门时提供了多类服务，或者服务周期内一位老年人享受了超过30次上门服务，均视为完成1人次服务。服务对象在服务周期内因故中止服务的，服务满30次及以上计1人次，否则不计入任务，需重新确定服务对象），服务不得延期或推迟履行。</w:t>
      </w:r>
    </w:p>
    <w:p w14:paraId="51C66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3、服务原则上每人每周不超过2次，每2次间隔不少于2天，每次不低于60分钟。每次老年人（家属或监护人）服务满意度不低于90%。居家养老上门服务可与经济困难家庭重度和完全失能老年人养老服务补贴、老年人探访关爱和送餐、助餐服务结合进行。老年人助餐、送餐按照《宝鸡市积极发展助餐服务行动实施方案》《关于加快发展老年助餐服务工作的通知》要求执行。</w:t>
      </w:r>
    </w:p>
    <w:p w14:paraId="0D37A8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4、基本提升行动补助标准：居家养老上门服务按照3000.00元/人的标准给予补助，所需资金从中央专项彩票公益金中列支。中央专项彩票公益金为引导资金，鼓励和支持老年人结合实际，以自付费的方式，实行定制化改造、购买个性化服务。政府补助资金不得超出“清单”内改造和服务范围、不得折算现金或转让。</w:t>
      </w:r>
    </w:p>
    <w:p w14:paraId="0017EC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4"/>
          <w:highlight w:val="none"/>
          <w:lang w:val="en-US" w:eastAsia="zh-CN"/>
          <w14:textFill>
            <w14:solidFill>
              <w14:schemeClr w14:val="tx1"/>
            </w14:solidFill>
          </w14:textFill>
        </w:rPr>
        <w:t>5、基本提升行动验收标准：居家养老上门服务依托民政部“金民工程”系统实施，“一人一档”。项目验收时以系统数据为准。</w:t>
      </w:r>
    </w:p>
    <w:p w14:paraId="3C2C5791">
      <w:pPr>
        <w:numPr>
          <w:ilvl w:val="0"/>
          <w:numId w:val="0"/>
        </w:numPr>
        <w:jc w:val="left"/>
        <w:rPr>
          <w:rFonts w:hint="eastAsia" w:ascii="宋体" w:hAnsi="宋体" w:eastAsia="宋体" w:cs="宋体"/>
          <w:b/>
          <w:bCs/>
          <w:sz w:val="24"/>
          <w:szCs w:val="24"/>
          <w:highlight w:val="none"/>
          <w:lang w:eastAsia="zh-CN"/>
        </w:rPr>
      </w:pPr>
      <w:r>
        <w:rPr>
          <w:rFonts w:hint="eastAsia" w:ascii="宋体" w:hAnsi="宋体" w:eastAsia="宋体" w:cs="宋体"/>
          <w:b/>
          <w:bCs/>
          <w:color w:val="000000" w:themeColor="text1"/>
          <w:szCs w:val="24"/>
          <w:highlight w:val="none"/>
          <w:lang w:val="en-US" w:eastAsia="zh-CN"/>
          <w14:textFill>
            <w14:solidFill>
              <w14:schemeClr w14:val="tx1"/>
            </w14:solidFill>
          </w14:textFill>
        </w:rPr>
        <w:t>二、</w:t>
      </w:r>
      <w:r>
        <w:rPr>
          <w:rFonts w:hint="eastAsia" w:ascii="宋体" w:hAnsi="宋体" w:eastAsia="宋体" w:cs="宋体"/>
          <w:b/>
          <w:bCs/>
          <w:sz w:val="24"/>
          <w:szCs w:val="24"/>
          <w:highlight w:val="none"/>
          <w:lang w:eastAsia="zh-CN"/>
        </w:rPr>
        <w:t>技术要求</w:t>
      </w:r>
    </w:p>
    <w:p w14:paraId="0F1CF9A4">
      <w:pPr>
        <w:pStyle w:val="36"/>
        <w:ind w:firstLine="0" w:firstLineChars="0"/>
        <w:jc w:val="center"/>
        <w:rPr>
          <w:rFonts w:hint="eastAsia" w:ascii="宋体" w:hAnsi="宋体" w:eastAsia="宋体" w:cs="宋体"/>
          <w:b/>
          <w:bCs/>
          <w:sz w:val="28"/>
          <w:szCs w:val="28"/>
          <w:highlight w:val="none"/>
          <w:lang w:eastAsia="zh-CN"/>
        </w:rPr>
      </w:pPr>
      <w:r>
        <w:rPr>
          <w:rFonts w:hint="eastAsia" w:ascii="宋体" w:hAnsi="宋体" w:eastAsia="宋体" w:cs="宋体"/>
          <w:b/>
          <w:bCs/>
          <w:kern w:val="0"/>
          <w:sz w:val="24"/>
          <w:szCs w:val="24"/>
          <w:highlight w:val="none"/>
          <w:shd w:val="clear" w:color="auto" w:fill="FFFFFF"/>
          <w:lang w:eastAsia="zh-CN" w:bidi="ar"/>
        </w:rPr>
        <w:t>（</w:t>
      </w:r>
      <w:r>
        <w:rPr>
          <w:rFonts w:hint="eastAsia" w:ascii="宋体" w:hAnsi="宋体" w:eastAsia="宋体" w:cs="宋体"/>
          <w:b/>
          <w:bCs/>
          <w:kern w:val="0"/>
          <w:sz w:val="24"/>
          <w:szCs w:val="24"/>
          <w:highlight w:val="none"/>
          <w:shd w:val="clear" w:color="auto" w:fill="FFFFFF"/>
          <w:lang w:val="en-US" w:eastAsia="zh-CN" w:bidi="ar"/>
        </w:rPr>
        <w:t>一）</w:t>
      </w:r>
      <w:r>
        <w:rPr>
          <w:rFonts w:hint="eastAsia" w:ascii="宋体" w:hAnsi="宋体" w:eastAsia="宋体" w:cs="宋体"/>
          <w:b/>
          <w:bCs/>
          <w:kern w:val="0"/>
          <w:sz w:val="24"/>
          <w:szCs w:val="24"/>
          <w:highlight w:val="none"/>
          <w:shd w:val="clear" w:color="auto" w:fill="FFFFFF"/>
          <w:lang w:eastAsia="zh-CN" w:bidi="ar"/>
        </w:rPr>
        <w:t>居家和社区基本养老服务提升行动项目Ⅰ标段任务分配表</w:t>
      </w:r>
    </w:p>
    <w:tbl>
      <w:tblPr>
        <w:tblStyle w:val="38"/>
        <w:tblpPr w:leftFromText="180" w:rightFromText="180" w:vertAnchor="text" w:horzAnchor="page" w:tblpXSpec="center" w:tblpY="94"/>
        <w:tblOverlap w:val="never"/>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4626"/>
        <w:gridCol w:w="2003"/>
      </w:tblGrid>
      <w:tr w14:paraId="6956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329" w:type="dxa"/>
            <w:vMerge w:val="restart"/>
            <w:vAlign w:val="center"/>
          </w:tcPr>
          <w:p w14:paraId="71D16266">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所属镇</w:t>
            </w:r>
          </w:p>
        </w:tc>
        <w:tc>
          <w:tcPr>
            <w:tcW w:w="4626" w:type="dxa"/>
            <w:vAlign w:val="center"/>
          </w:tcPr>
          <w:p w14:paraId="4CF2D954">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任务数</w:t>
            </w:r>
          </w:p>
        </w:tc>
        <w:tc>
          <w:tcPr>
            <w:tcW w:w="2003" w:type="dxa"/>
            <w:vMerge w:val="restart"/>
            <w:vAlign w:val="center"/>
          </w:tcPr>
          <w:p w14:paraId="542840BF">
            <w:pPr>
              <w:widowControl w:val="0"/>
              <w:spacing w:before="86" w:line="218" w:lineRule="auto"/>
              <w:ind w:firstLine="230" w:firstLineChars="100"/>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备注</w:t>
            </w:r>
          </w:p>
        </w:tc>
      </w:tr>
      <w:tr w14:paraId="647B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329" w:type="dxa"/>
            <w:vMerge w:val="continue"/>
            <w:vAlign w:val="center"/>
          </w:tcPr>
          <w:p w14:paraId="22A525AD">
            <w:pPr>
              <w:widowControl w:val="0"/>
              <w:spacing w:before="86" w:line="218" w:lineRule="auto"/>
              <w:ind w:left="247"/>
              <w:jc w:val="center"/>
              <w:rPr>
                <w:rFonts w:hint="eastAsia" w:ascii="宋体" w:hAnsi="宋体" w:eastAsia="宋体" w:cs="宋体"/>
                <w:spacing w:val="-5"/>
                <w:sz w:val="24"/>
                <w:szCs w:val="24"/>
                <w:highlight w:val="none"/>
              </w:rPr>
            </w:pPr>
          </w:p>
        </w:tc>
        <w:tc>
          <w:tcPr>
            <w:tcW w:w="4626" w:type="dxa"/>
            <w:vAlign w:val="center"/>
          </w:tcPr>
          <w:p w14:paraId="418954B8">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居家养老上门服务（人）</w:t>
            </w:r>
          </w:p>
        </w:tc>
        <w:tc>
          <w:tcPr>
            <w:tcW w:w="2003" w:type="dxa"/>
            <w:vMerge w:val="continue"/>
            <w:vAlign w:val="center"/>
          </w:tcPr>
          <w:p w14:paraId="00CE1680">
            <w:pPr>
              <w:widowControl w:val="0"/>
              <w:spacing w:before="86" w:line="218" w:lineRule="auto"/>
              <w:ind w:left="247"/>
              <w:jc w:val="center"/>
              <w:rPr>
                <w:rFonts w:hint="eastAsia" w:ascii="宋体" w:hAnsi="宋体" w:eastAsia="宋体" w:cs="宋体"/>
                <w:spacing w:val="-5"/>
                <w:sz w:val="24"/>
                <w:szCs w:val="24"/>
                <w:highlight w:val="none"/>
              </w:rPr>
            </w:pPr>
          </w:p>
        </w:tc>
      </w:tr>
      <w:tr w14:paraId="7831C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jc w:val="center"/>
        </w:trPr>
        <w:tc>
          <w:tcPr>
            <w:tcW w:w="2329" w:type="dxa"/>
            <w:vAlign w:val="center"/>
          </w:tcPr>
          <w:p w14:paraId="459989F9">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城关镇</w:t>
            </w:r>
          </w:p>
        </w:tc>
        <w:tc>
          <w:tcPr>
            <w:tcW w:w="4626" w:type="dxa"/>
            <w:vAlign w:val="center"/>
          </w:tcPr>
          <w:p w14:paraId="5F020332">
            <w:pPr>
              <w:widowControl w:val="0"/>
              <w:spacing w:before="86" w:line="218" w:lineRule="auto"/>
              <w:ind w:left="247"/>
              <w:jc w:val="center"/>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33</w:t>
            </w:r>
          </w:p>
        </w:tc>
        <w:tc>
          <w:tcPr>
            <w:tcW w:w="2003" w:type="dxa"/>
            <w:vAlign w:val="center"/>
          </w:tcPr>
          <w:p w14:paraId="5EF060A4">
            <w:pPr>
              <w:widowControl w:val="0"/>
              <w:spacing w:before="86" w:line="218" w:lineRule="auto"/>
              <w:ind w:left="247"/>
              <w:jc w:val="center"/>
              <w:rPr>
                <w:rFonts w:hint="eastAsia" w:ascii="宋体" w:hAnsi="宋体" w:eastAsia="宋体" w:cs="宋体"/>
                <w:spacing w:val="-5"/>
                <w:sz w:val="24"/>
                <w:szCs w:val="24"/>
                <w:highlight w:val="none"/>
              </w:rPr>
            </w:pPr>
          </w:p>
        </w:tc>
      </w:tr>
      <w:tr w14:paraId="0870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jc w:val="center"/>
        </w:trPr>
        <w:tc>
          <w:tcPr>
            <w:tcW w:w="2329" w:type="dxa"/>
            <w:vAlign w:val="center"/>
          </w:tcPr>
          <w:p w14:paraId="09A9D79E">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崔家头镇</w:t>
            </w:r>
          </w:p>
        </w:tc>
        <w:tc>
          <w:tcPr>
            <w:tcW w:w="4626" w:type="dxa"/>
            <w:vAlign w:val="center"/>
          </w:tcPr>
          <w:p w14:paraId="72ECE63E">
            <w:pPr>
              <w:widowControl w:val="0"/>
              <w:spacing w:before="86" w:line="218" w:lineRule="auto"/>
              <w:ind w:left="247"/>
              <w:jc w:val="center"/>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8</w:t>
            </w:r>
          </w:p>
        </w:tc>
        <w:tc>
          <w:tcPr>
            <w:tcW w:w="2003" w:type="dxa"/>
            <w:vAlign w:val="center"/>
          </w:tcPr>
          <w:p w14:paraId="710C23A8">
            <w:pPr>
              <w:widowControl w:val="0"/>
              <w:spacing w:before="86" w:line="218" w:lineRule="auto"/>
              <w:ind w:left="247"/>
              <w:jc w:val="center"/>
              <w:rPr>
                <w:rFonts w:hint="eastAsia" w:ascii="宋体" w:hAnsi="宋体" w:eastAsia="宋体" w:cs="宋体"/>
                <w:spacing w:val="-5"/>
                <w:sz w:val="24"/>
                <w:szCs w:val="24"/>
                <w:highlight w:val="none"/>
              </w:rPr>
            </w:pPr>
          </w:p>
        </w:tc>
      </w:tr>
      <w:tr w14:paraId="1CD8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329" w:type="dxa"/>
            <w:vAlign w:val="center"/>
          </w:tcPr>
          <w:p w14:paraId="6B6E5FD9">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南寨镇</w:t>
            </w:r>
          </w:p>
        </w:tc>
        <w:tc>
          <w:tcPr>
            <w:tcW w:w="4626" w:type="dxa"/>
            <w:vAlign w:val="center"/>
          </w:tcPr>
          <w:p w14:paraId="1232C24F">
            <w:pPr>
              <w:widowControl w:val="0"/>
              <w:spacing w:before="86" w:line="218" w:lineRule="auto"/>
              <w:ind w:left="247"/>
              <w:jc w:val="center"/>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24</w:t>
            </w:r>
          </w:p>
        </w:tc>
        <w:tc>
          <w:tcPr>
            <w:tcW w:w="2003" w:type="dxa"/>
            <w:vAlign w:val="center"/>
          </w:tcPr>
          <w:p w14:paraId="0FC46B31">
            <w:pPr>
              <w:widowControl w:val="0"/>
              <w:spacing w:before="86" w:line="218" w:lineRule="auto"/>
              <w:ind w:left="247"/>
              <w:jc w:val="center"/>
              <w:rPr>
                <w:rFonts w:hint="eastAsia" w:ascii="宋体" w:hAnsi="宋体" w:eastAsia="宋体" w:cs="宋体"/>
                <w:spacing w:val="-5"/>
                <w:sz w:val="24"/>
                <w:szCs w:val="24"/>
                <w:highlight w:val="none"/>
              </w:rPr>
            </w:pPr>
          </w:p>
        </w:tc>
      </w:tr>
      <w:tr w14:paraId="0107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2329" w:type="dxa"/>
            <w:vAlign w:val="center"/>
          </w:tcPr>
          <w:p w14:paraId="0CA0392D">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张家塬镇</w:t>
            </w:r>
          </w:p>
        </w:tc>
        <w:tc>
          <w:tcPr>
            <w:tcW w:w="4626" w:type="dxa"/>
            <w:vAlign w:val="center"/>
          </w:tcPr>
          <w:p w14:paraId="172797B2">
            <w:pPr>
              <w:widowControl w:val="0"/>
              <w:spacing w:before="86" w:line="218" w:lineRule="auto"/>
              <w:ind w:left="247"/>
              <w:jc w:val="center"/>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20</w:t>
            </w:r>
          </w:p>
        </w:tc>
        <w:tc>
          <w:tcPr>
            <w:tcW w:w="2003" w:type="dxa"/>
            <w:vAlign w:val="center"/>
          </w:tcPr>
          <w:p w14:paraId="672914D4">
            <w:pPr>
              <w:widowControl w:val="0"/>
              <w:spacing w:before="86" w:line="218" w:lineRule="auto"/>
              <w:ind w:left="247"/>
              <w:jc w:val="center"/>
              <w:rPr>
                <w:rFonts w:hint="eastAsia" w:ascii="宋体" w:hAnsi="宋体" w:eastAsia="宋体" w:cs="宋体"/>
                <w:spacing w:val="-5"/>
                <w:sz w:val="24"/>
                <w:szCs w:val="24"/>
                <w:highlight w:val="none"/>
              </w:rPr>
            </w:pPr>
          </w:p>
        </w:tc>
      </w:tr>
      <w:tr w14:paraId="6444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jc w:val="center"/>
        </w:trPr>
        <w:tc>
          <w:tcPr>
            <w:tcW w:w="2329" w:type="dxa"/>
            <w:vAlign w:val="center"/>
          </w:tcPr>
          <w:p w14:paraId="1B43FB81">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高崖镇</w:t>
            </w:r>
          </w:p>
        </w:tc>
        <w:tc>
          <w:tcPr>
            <w:tcW w:w="4626" w:type="dxa"/>
            <w:vAlign w:val="center"/>
          </w:tcPr>
          <w:p w14:paraId="2CDD2B24">
            <w:pPr>
              <w:widowControl w:val="0"/>
              <w:spacing w:before="86" w:line="218" w:lineRule="auto"/>
              <w:ind w:left="247"/>
              <w:jc w:val="center"/>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4</w:t>
            </w:r>
          </w:p>
        </w:tc>
        <w:tc>
          <w:tcPr>
            <w:tcW w:w="2003" w:type="dxa"/>
            <w:vAlign w:val="center"/>
          </w:tcPr>
          <w:p w14:paraId="2814F107">
            <w:pPr>
              <w:widowControl w:val="0"/>
              <w:spacing w:before="86" w:line="218" w:lineRule="auto"/>
              <w:ind w:left="247"/>
              <w:jc w:val="center"/>
              <w:rPr>
                <w:rFonts w:hint="eastAsia" w:ascii="宋体" w:hAnsi="宋体" w:eastAsia="宋体" w:cs="宋体"/>
                <w:spacing w:val="-5"/>
                <w:sz w:val="24"/>
                <w:szCs w:val="24"/>
                <w:highlight w:val="none"/>
              </w:rPr>
            </w:pPr>
          </w:p>
        </w:tc>
      </w:tr>
      <w:tr w14:paraId="5DBD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2329" w:type="dxa"/>
            <w:vAlign w:val="center"/>
          </w:tcPr>
          <w:p w14:paraId="0580B93C">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草碧镇</w:t>
            </w:r>
          </w:p>
        </w:tc>
        <w:tc>
          <w:tcPr>
            <w:tcW w:w="4626" w:type="dxa"/>
            <w:vAlign w:val="center"/>
          </w:tcPr>
          <w:p w14:paraId="116DBC9B">
            <w:pPr>
              <w:widowControl w:val="0"/>
              <w:spacing w:before="86" w:line="218" w:lineRule="auto"/>
              <w:ind w:left="247"/>
              <w:jc w:val="center"/>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11</w:t>
            </w:r>
          </w:p>
        </w:tc>
        <w:tc>
          <w:tcPr>
            <w:tcW w:w="2003" w:type="dxa"/>
            <w:vAlign w:val="center"/>
          </w:tcPr>
          <w:p w14:paraId="74314A06">
            <w:pPr>
              <w:widowControl w:val="0"/>
              <w:spacing w:before="86" w:line="218" w:lineRule="auto"/>
              <w:ind w:left="247"/>
              <w:jc w:val="center"/>
              <w:rPr>
                <w:rFonts w:hint="eastAsia" w:ascii="宋体" w:hAnsi="宋体" w:eastAsia="宋体" w:cs="宋体"/>
                <w:spacing w:val="-5"/>
                <w:sz w:val="24"/>
                <w:szCs w:val="24"/>
                <w:highlight w:val="none"/>
              </w:rPr>
            </w:pPr>
          </w:p>
        </w:tc>
      </w:tr>
      <w:tr w14:paraId="6656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2329" w:type="dxa"/>
            <w:vAlign w:val="center"/>
          </w:tcPr>
          <w:p w14:paraId="1F729E44">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水沟镇</w:t>
            </w:r>
          </w:p>
        </w:tc>
        <w:tc>
          <w:tcPr>
            <w:tcW w:w="4626" w:type="dxa"/>
            <w:vAlign w:val="center"/>
          </w:tcPr>
          <w:p w14:paraId="581285DB">
            <w:pPr>
              <w:widowControl w:val="0"/>
              <w:spacing w:before="86" w:line="218" w:lineRule="auto"/>
              <w:ind w:left="247"/>
              <w:jc w:val="center"/>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14</w:t>
            </w:r>
          </w:p>
        </w:tc>
        <w:tc>
          <w:tcPr>
            <w:tcW w:w="2003" w:type="dxa"/>
            <w:vAlign w:val="center"/>
          </w:tcPr>
          <w:p w14:paraId="2C6A3ECE">
            <w:pPr>
              <w:widowControl w:val="0"/>
              <w:spacing w:before="86" w:line="218" w:lineRule="auto"/>
              <w:ind w:left="247"/>
              <w:jc w:val="center"/>
              <w:rPr>
                <w:rFonts w:hint="eastAsia" w:ascii="宋体" w:hAnsi="宋体" w:eastAsia="宋体" w:cs="宋体"/>
                <w:spacing w:val="-5"/>
                <w:sz w:val="24"/>
                <w:szCs w:val="24"/>
                <w:highlight w:val="none"/>
              </w:rPr>
            </w:pPr>
          </w:p>
        </w:tc>
      </w:tr>
      <w:tr w14:paraId="50CE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exact"/>
          <w:jc w:val="center"/>
        </w:trPr>
        <w:tc>
          <w:tcPr>
            <w:tcW w:w="2329" w:type="dxa"/>
            <w:vAlign w:val="center"/>
          </w:tcPr>
          <w:p w14:paraId="2A74A5E2">
            <w:pPr>
              <w:widowControl w:val="0"/>
              <w:spacing w:before="86" w:line="218" w:lineRule="auto"/>
              <w:ind w:left="247"/>
              <w:jc w:val="center"/>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合计</w:t>
            </w:r>
          </w:p>
        </w:tc>
        <w:tc>
          <w:tcPr>
            <w:tcW w:w="4626" w:type="dxa"/>
            <w:vAlign w:val="center"/>
          </w:tcPr>
          <w:p w14:paraId="621B1AE8">
            <w:pPr>
              <w:widowControl w:val="0"/>
              <w:spacing w:before="86" w:line="218" w:lineRule="auto"/>
              <w:ind w:left="247"/>
              <w:jc w:val="center"/>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114</w:t>
            </w:r>
          </w:p>
        </w:tc>
        <w:tc>
          <w:tcPr>
            <w:tcW w:w="2003" w:type="dxa"/>
            <w:vAlign w:val="center"/>
          </w:tcPr>
          <w:p w14:paraId="7D860820">
            <w:pPr>
              <w:widowControl w:val="0"/>
              <w:spacing w:before="86" w:line="218" w:lineRule="auto"/>
              <w:ind w:left="247"/>
              <w:jc w:val="center"/>
              <w:rPr>
                <w:rFonts w:hint="eastAsia" w:ascii="宋体" w:hAnsi="宋体" w:eastAsia="宋体" w:cs="宋体"/>
                <w:spacing w:val="-5"/>
                <w:sz w:val="24"/>
                <w:szCs w:val="24"/>
                <w:highlight w:val="none"/>
              </w:rPr>
            </w:pPr>
          </w:p>
        </w:tc>
      </w:tr>
    </w:tbl>
    <w:p w14:paraId="33345476">
      <w:pPr>
        <w:pStyle w:val="36"/>
        <w:ind w:firstLine="0" w:firstLineChars="0"/>
        <w:jc w:val="center"/>
        <w:rPr>
          <w:rFonts w:hint="default" w:ascii="宋体" w:hAnsi="宋体" w:eastAsia="宋体" w:cs="宋体"/>
          <w:b/>
          <w:bCs/>
          <w:kern w:val="0"/>
          <w:sz w:val="24"/>
          <w:szCs w:val="24"/>
          <w:highlight w:val="none"/>
          <w:shd w:val="clear" w:color="auto" w:fill="FFFFFF"/>
          <w:lang w:val="en-US" w:eastAsia="zh-CN" w:bidi="ar"/>
        </w:rPr>
      </w:pPr>
      <w:r>
        <w:rPr>
          <w:rFonts w:hint="eastAsia" w:ascii="宋体" w:hAnsi="宋体" w:eastAsia="宋体" w:cs="宋体"/>
          <w:b/>
          <w:bCs/>
          <w:kern w:val="0"/>
          <w:sz w:val="24"/>
          <w:szCs w:val="24"/>
          <w:highlight w:val="none"/>
          <w:shd w:val="clear" w:color="auto" w:fill="FFFFFF"/>
          <w:lang w:eastAsia="zh-CN" w:bidi="ar"/>
        </w:rPr>
        <w:t>（</w:t>
      </w:r>
      <w:r>
        <w:rPr>
          <w:rFonts w:hint="eastAsia" w:ascii="宋体" w:hAnsi="宋体" w:eastAsia="宋体" w:cs="宋体"/>
          <w:b/>
          <w:bCs/>
          <w:kern w:val="0"/>
          <w:sz w:val="24"/>
          <w:szCs w:val="24"/>
          <w:highlight w:val="none"/>
          <w:shd w:val="clear" w:color="auto" w:fill="FFFFFF"/>
          <w:lang w:val="en-US" w:eastAsia="zh-CN" w:bidi="ar"/>
        </w:rPr>
        <w:t>二）</w:t>
      </w:r>
      <w:r>
        <w:rPr>
          <w:rFonts w:hint="eastAsia" w:ascii="宋体" w:hAnsi="宋体" w:eastAsia="宋体" w:cs="宋体"/>
          <w:b/>
          <w:bCs/>
          <w:kern w:val="0"/>
          <w:sz w:val="24"/>
          <w:szCs w:val="24"/>
          <w:highlight w:val="none"/>
          <w:shd w:val="clear" w:color="auto" w:fill="FFFFFF"/>
          <w:lang w:eastAsia="zh-CN" w:bidi="ar"/>
        </w:rPr>
        <w:t>居家和社区基本养老服务提升行动项目Ⅰ标段</w:t>
      </w:r>
      <w:r>
        <w:rPr>
          <w:rFonts w:hint="eastAsia" w:ascii="宋体" w:hAnsi="宋体" w:eastAsia="宋体" w:cs="宋体"/>
          <w:b/>
          <w:bCs/>
          <w:kern w:val="0"/>
          <w:sz w:val="24"/>
          <w:szCs w:val="24"/>
          <w:highlight w:val="none"/>
          <w:shd w:val="clear" w:color="auto" w:fill="FFFFFF"/>
          <w:lang w:val="en-US" w:eastAsia="zh-CN" w:bidi="ar"/>
        </w:rPr>
        <w:t>服务清单</w:t>
      </w:r>
    </w:p>
    <w:p w14:paraId="31D2F768">
      <w:pPr>
        <w:spacing w:line="146" w:lineRule="exact"/>
        <w:rPr>
          <w:highlight w:val="none"/>
        </w:rPr>
      </w:pPr>
    </w:p>
    <w:tbl>
      <w:tblPr>
        <w:tblStyle w:val="144"/>
        <w:tblW w:w="87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7"/>
        <w:gridCol w:w="1579"/>
        <w:gridCol w:w="6264"/>
      </w:tblGrid>
      <w:tr w14:paraId="3423D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947" w:type="dxa"/>
            <w:vAlign w:val="center"/>
          </w:tcPr>
          <w:p w14:paraId="06721034">
            <w:pPr>
              <w:spacing w:before="86" w:line="218" w:lineRule="auto"/>
              <w:ind w:left="247"/>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类别</w:t>
            </w:r>
          </w:p>
        </w:tc>
        <w:tc>
          <w:tcPr>
            <w:tcW w:w="1579" w:type="dxa"/>
            <w:vAlign w:val="center"/>
          </w:tcPr>
          <w:p w14:paraId="14B63055">
            <w:pPr>
              <w:spacing w:before="86" w:line="219" w:lineRule="auto"/>
              <w:ind w:left="31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项目名称</w:t>
            </w:r>
          </w:p>
        </w:tc>
        <w:tc>
          <w:tcPr>
            <w:tcW w:w="6264" w:type="dxa"/>
            <w:vAlign w:val="center"/>
          </w:tcPr>
          <w:p w14:paraId="656B20B2">
            <w:pPr>
              <w:spacing w:before="86" w:line="218" w:lineRule="auto"/>
              <w:ind w:left="2655"/>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服务内容</w:t>
            </w:r>
          </w:p>
        </w:tc>
      </w:tr>
      <w:tr w14:paraId="2C8BA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947" w:type="dxa"/>
            <w:vMerge w:val="restart"/>
            <w:tcBorders>
              <w:bottom w:val="nil"/>
            </w:tcBorders>
            <w:vAlign w:val="center"/>
          </w:tcPr>
          <w:p w14:paraId="743BB531">
            <w:pPr>
              <w:spacing w:line="278" w:lineRule="auto"/>
              <w:jc w:val="center"/>
              <w:rPr>
                <w:rFonts w:hint="eastAsia" w:ascii="宋体" w:hAnsi="宋体" w:eastAsia="宋体" w:cs="宋体"/>
                <w:sz w:val="24"/>
                <w:szCs w:val="24"/>
                <w:highlight w:val="none"/>
              </w:rPr>
            </w:pPr>
          </w:p>
          <w:p w14:paraId="133A09B4">
            <w:pPr>
              <w:spacing w:line="278" w:lineRule="auto"/>
              <w:jc w:val="center"/>
              <w:rPr>
                <w:rFonts w:hint="eastAsia" w:ascii="宋体" w:hAnsi="宋体" w:eastAsia="宋体" w:cs="宋体"/>
                <w:sz w:val="24"/>
                <w:szCs w:val="24"/>
                <w:highlight w:val="none"/>
              </w:rPr>
            </w:pPr>
          </w:p>
          <w:p w14:paraId="776F3265">
            <w:pPr>
              <w:spacing w:line="279" w:lineRule="auto"/>
              <w:jc w:val="center"/>
              <w:rPr>
                <w:rFonts w:hint="eastAsia" w:ascii="宋体" w:hAnsi="宋体" w:eastAsia="宋体" w:cs="宋体"/>
                <w:sz w:val="24"/>
                <w:szCs w:val="24"/>
                <w:highlight w:val="none"/>
              </w:rPr>
            </w:pPr>
          </w:p>
          <w:p w14:paraId="7981BC42">
            <w:pPr>
              <w:spacing w:line="279" w:lineRule="auto"/>
              <w:jc w:val="center"/>
              <w:rPr>
                <w:rFonts w:hint="eastAsia" w:ascii="宋体" w:hAnsi="宋体" w:eastAsia="宋体" w:cs="宋体"/>
                <w:sz w:val="24"/>
                <w:szCs w:val="24"/>
                <w:highlight w:val="none"/>
              </w:rPr>
            </w:pPr>
          </w:p>
          <w:p w14:paraId="4458A5A2">
            <w:pPr>
              <w:spacing w:before="68" w:line="221" w:lineRule="auto"/>
              <w:ind w:left="165"/>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生活照</w:t>
            </w:r>
          </w:p>
          <w:p w14:paraId="47D12E8C">
            <w:pPr>
              <w:spacing w:before="108" w:line="221" w:lineRule="auto"/>
              <w:ind w:left="16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料服务</w:t>
            </w:r>
          </w:p>
        </w:tc>
        <w:tc>
          <w:tcPr>
            <w:tcW w:w="1579" w:type="dxa"/>
            <w:vAlign w:val="center"/>
          </w:tcPr>
          <w:p w14:paraId="0044EB62">
            <w:pPr>
              <w:spacing w:before="106" w:line="221" w:lineRule="auto"/>
              <w:ind w:left="582"/>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助餐</w:t>
            </w:r>
          </w:p>
        </w:tc>
        <w:tc>
          <w:tcPr>
            <w:tcW w:w="6264" w:type="dxa"/>
            <w:vAlign w:val="center"/>
          </w:tcPr>
          <w:p w14:paraId="535097B2">
            <w:pPr>
              <w:spacing w:before="106" w:line="221" w:lineRule="auto"/>
              <w:ind w:left="120"/>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烹饪服务、协助老年人前往老年助餐点就餐、送餐上门等</w:t>
            </w:r>
          </w:p>
        </w:tc>
      </w:tr>
      <w:tr w14:paraId="1B8AE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947" w:type="dxa"/>
            <w:vMerge w:val="continue"/>
            <w:tcBorders>
              <w:top w:val="nil"/>
              <w:bottom w:val="nil"/>
            </w:tcBorders>
            <w:vAlign w:val="center"/>
          </w:tcPr>
          <w:p w14:paraId="28F78DEF">
            <w:pPr>
              <w:jc w:val="center"/>
              <w:rPr>
                <w:rFonts w:hint="eastAsia" w:ascii="宋体" w:hAnsi="宋体" w:eastAsia="宋体" w:cs="宋体"/>
                <w:sz w:val="24"/>
                <w:szCs w:val="24"/>
                <w:highlight w:val="none"/>
              </w:rPr>
            </w:pPr>
          </w:p>
        </w:tc>
        <w:tc>
          <w:tcPr>
            <w:tcW w:w="1579" w:type="dxa"/>
            <w:vAlign w:val="center"/>
          </w:tcPr>
          <w:p w14:paraId="2F6D8A8F">
            <w:pPr>
              <w:spacing w:before="106" w:line="221" w:lineRule="auto"/>
              <w:ind w:left="582"/>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助浴</w:t>
            </w:r>
          </w:p>
        </w:tc>
        <w:tc>
          <w:tcPr>
            <w:tcW w:w="6264" w:type="dxa"/>
            <w:vAlign w:val="center"/>
          </w:tcPr>
          <w:p w14:paraId="2163B74E">
            <w:pPr>
              <w:spacing w:before="105" w:line="221" w:lineRule="auto"/>
              <w:ind w:left="114"/>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上门助浴或协助前往老年人助浴点进行身体清洁等</w:t>
            </w:r>
          </w:p>
        </w:tc>
      </w:tr>
      <w:tr w14:paraId="05C38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947" w:type="dxa"/>
            <w:vMerge w:val="continue"/>
            <w:tcBorders>
              <w:top w:val="nil"/>
              <w:bottom w:val="nil"/>
            </w:tcBorders>
            <w:vAlign w:val="center"/>
          </w:tcPr>
          <w:p w14:paraId="0593A29B">
            <w:pPr>
              <w:jc w:val="center"/>
              <w:rPr>
                <w:rFonts w:hint="eastAsia" w:ascii="宋体" w:hAnsi="宋体" w:eastAsia="宋体" w:cs="宋体"/>
                <w:sz w:val="24"/>
                <w:szCs w:val="24"/>
                <w:highlight w:val="none"/>
              </w:rPr>
            </w:pPr>
          </w:p>
        </w:tc>
        <w:tc>
          <w:tcPr>
            <w:tcW w:w="1579" w:type="dxa"/>
            <w:vAlign w:val="center"/>
          </w:tcPr>
          <w:p w14:paraId="1A8A23DA">
            <w:pPr>
              <w:spacing w:before="217" w:line="221" w:lineRule="auto"/>
              <w:ind w:left="582"/>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助洁</w:t>
            </w:r>
          </w:p>
        </w:tc>
        <w:tc>
          <w:tcPr>
            <w:tcW w:w="6264" w:type="dxa"/>
            <w:vAlign w:val="center"/>
          </w:tcPr>
          <w:p w14:paraId="2EC5D309">
            <w:pPr>
              <w:spacing w:before="58" w:line="242" w:lineRule="auto"/>
              <w:ind w:left="116" w:right="268" w:hanging="4"/>
              <w:jc w:val="center"/>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洗漱、剪发剃须、洗脚、剪指（趾）甲等身体助洁服务，居家清</w:t>
            </w:r>
            <w:r>
              <w:rPr>
                <w:rFonts w:hint="eastAsia" w:ascii="宋体" w:hAnsi="宋体" w:eastAsia="宋体" w:cs="宋体"/>
                <w:spacing w:val="-1"/>
                <w:sz w:val="24"/>
                <w:szCs w:val="24"/>
                <w:highlight w:val="none"/>
              </w:rPr>
              <w:t>洁、衣物洗涤、物品整理等普通助洁服务</w:t>
            </w:r>
          </w:p>
        </w:tc>
      </w:tr>
      <w:tr w14:paraId="5CFD3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947" w:type="dxa"/>
            <w:vMerge w:val="continue"/>
            <w:tcBorders>
              <w:top w:val="nil"/>
              <w:bottom w:val="nil"/>
            </w:tcBorders>
            <w:vAlign w:val="center"/>
          </w:tcPr>
          <w:p w14:paraId="49137A77">
            <w:pPr>
              <w:jc w:val="center"/>
              <w:rPr>
                <w:rFonts w:hint="eastAsia" w:ascii="宋体" w:hAnsi="宋体" w:eastAsia="宋体" w:cs="宋体"/>
                <w:sz w:val="24"/>
                <w:szCs w:val="24"/>
                <w:highlight w:val="none"/>
              </w:rPr>
            </w:pPr>
          </w:p>
        </w:tc>
        <w:tc>
          <w:tcPr>
            <w:tcW w:w="1579" w:type="dxa"/>
            <w:vAlign w:val="center"/>
          </w:tcPr>
          <w:p w14:paraId="5EB34C16">
            <w:pPr>
              <w:spacing w:before="107" w:line="221" w:lineRule="auto"/>
              <w:ind w:left="582"/>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助行</w:t>
            </w:r>
          </w:p>
        </w:tc>
        <w:tc>
          <w:tcPr>
            <w:tcW w:w="6264" w:type="dxa"/>
            <w:vAlign w:val="center"/>
          </w:tcPr>
          <w:p w14:paraId="61CDECAA">
            <w:pPr>
              <w:spacing w:before="107" w:line="221" w:lineRule="auto"/>
              <w:ind w:left="113"/>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协助行走、陪伴外出、参加活动等</w:t>
            </w:r>
          </w:p>
        </w:tc>
      </w:tr>
      <w:tr w14:paraId="487C7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jc w:val="center"/>
        </w:trPr>
        <w:tc>
          <w:tcPr>
            <w:tcW w:w="947" w:type="dxa"/>
            <w:vMerge w:val="continue"/>
            <w:tcBorders>
              <w:top w:val="nil"/>
              <w:bottom w:val="nil"/>
            </w:tcBorders>
            <w:vAlign w:val="center"/>
          </w:tcPr>
          <w:p w14:paraId="7679C2BC">
            <w:pPr>
              <w:jc w:val="center"/>
              <w:rPr>
                <w:rFonts w:hint="eastAsia" w:ascii="宋体" w:hAnsi="宋体" w:eastAsia="宋体" w:cs="宋体"/>
                <w:sz w:val="24"/>
                <w:szCs w:val="24"/>
                <w:highlight w:val="none"/>
              </w:rPr>
            </w:pPr>
          </w:p>
        </w:tc>
        <w:tc>
          <w:tcPr>
            <w:tcW w:w="1579" w:type="dxa"/>
            <w:vAlign w:val="center"/>
          </w:tcPr>
          <w:p w14:paraId="531E4C07">
            <w:pPr>
              <w:spacing w:before="109" w:line="221" w:lineRule="auto"/>
              <w:ind w:left="582"/>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助急</w:t>
            </w:r>
          </w:p>
        </w:tc>
        <w:tc>
          <w:tcPr>
            <w:tcW w:w="6264" w:type="dxa"/>
            <w:vAlign w:val="center"/>
          </w:tcPr>
          <w:p w14:paraId="5DBF50BA">
            <w:pPr>
              <w:spacing w:before="109" w:line="220" w:lineRule="auto"/>
              <w:ind w:left="118"/>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紧急呼叫受理、紧急转介等</w:t>
            </w:r>
          </w:p>
        </w:tc>
      </w:tr>
      <w:tr w14:paraId="5261DC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947" w:type="dxa"/>
            <w:vMerge w:val="continue"/>
            <w:tcBorders>
              <w:top w:val="nil"/>
            </w:tcBorders>
            <w:vAlign w:val="center"/>
          </w:tcPr>
          <w:p w14:paraId="1DD5C919">
            <w:pPr>
              <w:jc w:val="center"/>
              <w:rPr>
                <w:rFonts w:hint="eastAsia" w:ascii="宋体" w:hAnsi="宋体" w:eastAsia="宋体" w:cs="宋体"/>
                <w:sz w:val="24"/>
                <w:szCs w:val="24"/>
                <w:highlight w:val="none"/>
              </w:rPr>
            </w:pPr>
          </w:p>
        </w:tc>
        <w:tc>
          <w:tcPr>
            <w:tcW w:w="1579" w:type="dxa"/>
            <w:vAlign w:val="center"/>
          </w:tcPr>
          <w:p w14:paraId="55BE09C1">
            <w:pPr>
              <w:spacing w:before="107" w:line="221" w:lineRule="auto"/>
              <w:ind w:left="582"/>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助医</w:t>
            </w:r>
          </w:p>
        </w:tc>
        <w:tc>
          <w:tcPr>
            <w:tcW w:w="6264" w:type="dxa"/>
            <w:vAlign w:val="center"/>
          </w:tcPr>
          <w:p w14:paraId="28E8F5C3">
            <w:pPr>
              <w:spacing w:before="106" w:line="221" w:lineRule="auto"/>
              <w:ind w:left="123"/>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陪同就医、治疗陪伴等</w:t>
            </w:r>
          </w:p>
        </w:tc>
      </w:tr>
      <w:tr w14:paraId="7B270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947" w:type="dxa"/>
            <w:vMerge w:val="restart"/>
            <w:tcBorders>
              <w:bottom w:val="nil"/>
            </w:tcBorders>
            <w:vAlign w:val="center"/>
          </w:tcPr>
          <w:p w14:paraId="57C66149">
            <w:pPr>
              <w:spacing w:line="289" w:lineRule="auto"/>
              <w:jc w:val="center"/>
              <w:rPr>
                <w:rFonts w:hint="eastAsia" w:ascii="宋体" w:hAnsi="宋体" w:eastAsia="宋体" w:cs="宋体"/>
                <w:sz w:val="24"/>
                <w:szCs w:val="24"/>
                <w:highlight w:val="none"/>
              </w:rPr>
            </w:pPr>
          </w:p>
          <w:p w14:paraId="6A6C28C5">
            <w:pPr>
              <w:spacing w:line="289" w:lineRule="auto"/>
              <w:jc w:val="center"/>
              <w:rPr>
                <w:rFonts w:hint="eastAsia" w:ascii="宋体" w:hAnsi="宋体" w:eastAsia="宋体" w:cs="宋体"/>
                <w:sz w:val="24"/>
                <w:szCs w:val="24"/>
                <w:highlight w:val="none"/>
              </w:rPr>
            </w:pPr>
          </w:p>
          <w:p w14:paraId="353AC9FC">
            <w:pPr>
              <w:spacing w:before="69" w:line="226" w:lineRule="auto"/>
              <w:ind w:left="16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基础照</w:t>
            </w:r>
          </w:p>
          <w:p w14:paraId="0431BDF1">
            <w:pPr>
              <w:spacing w:before="102" w:line="221" w:lineRule="auto"/>
              <w:ind w:left="16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护服务</w:t>
            </w:r>
          </w:p>
        </w:tc>
        <w:tc>
          <w:tcPr>
            <w:tcW w:w="1579" w:type="dxa"/>
            <w:vAlign w:val="center"/>
          </w:tcPr>
          <w:p w14:paraId="39823D54">
            <w:pPr>
              <w:spacing w:before="108" w:line="221" w:lineRule="auto"/>
              <w:ind w:left="373"/>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排泄护理</w:t>
            </w:r>
          </w:p>
        </w:tc>
        <w:tc>
          <w:tcPr>
            <w:tcW w:w="6264" w:type="dxa"/>
            <w:vAlign w:val="center"/>
          </w:tcPr>
          <w:p w14:paraId="39B3F54B">
            <w:pPr>
              <w:spacing w:before="107" w:line="221" w:lineRule="auto"/>
              <w:ind w:left="112"/>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排尿护理、排便护理、排气护理等</w:t>
            </w:r>
          </w:p>
        </w:tc>
      </w:tr>
      <w:tr w14:paraId="31C0FC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947" w:type="dxa"/>
            <w:vMerge w:val="continue"/>
            <w:tcBorders>
              <w:top w:val="nil"/>
              <w:bottom w:val="nil"/>
            </w:tcBorders>
            <w:vAlign w:val="center"/>
          </w:tcPr>
          <w:p w14:paraId="13C80D5E">
            <w:pPr>
              <w:jc w:val="center"/>
              <w:rPr>
                <w:rFonts w:hint="eastAsia" w:ascii="宋体" w:hAnsi="宋体" w:eastAsia="宋体" w:cs="宋体"/>
                <w:sz w:val="24"/>
                <w:szCs w:val="24"/>
                <w:highlight w:val="none"/>
              </w:rPr>
            </w:pPr>
          </w:p>
        </w:tc>
        <w:tc>
          <w:tcPr>
            <w:tcW w:w="1579" w:type="dxa"/>
            <w:vAlign w:val="center"/>
          </w:tcPr>
          <w:p w14:paraId="09FFD4B4">
            <w:pPr>
              <w:spacing w:before="108" w:line="221" w:lineRule="auto"/>
              <w:ind w:left="37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护理协助</w:t>
            </w:r>
          </w:p>
        </w:tc>
        <w:tc>
          <w:tcPr>
            <w:tcW w:w="6264" w:type="dxa"/>
            <w:vAlign w:val="center"/>
          </w:tcPr>
          <w:p w14:paraId="44DF9A5A">
            <w:pPr>
              <w:spacing w:before="107" w:line="221" w:lineRule="auto"/>
              <w:ind w:left="113"/>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协助和指导翻身、拍背、褥疮预防等</w:t>
            </w:r>
          </w:p>
        </w:tc>
      </w:tr>
      <w:tr w14:paraId="0C6BD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947" w:type="dxa"/>
            <w:vMerge w:val="continue"/>
            <w:tcBorders>
              <w:top w:val="nil"/>
              <w:bottom w:val="nil"/>
            </w:tcBorders>
            <w:vAlign w:val="center"/>
          </w:tcPr>
          <w:p w14:paraId="6E22AA4E">
            <w:pPr>
              <w:jc w:val="center"/>
              <w:rPr>
                <w:rFonts w:hint="eastAsia" w:ascii="宋体" w:hAnsi="宋体" w:eastAsia="宋体" w:cs="宋体"/>
                <w:sz w:val="24"/>
                <w:szCs w:val="24"/>
                <w:highlight w:val="none"/>
              </w:rPr>
            </w:pPr>
          </w:p>
        </w:tc>
        <w:tc>
          <w:tcPr>
            <w:tcW w:w="1579" w:type="dxa"/>
            <w:vAlign w:val="center"/>
          </w:tcPr>
          <w:p w14:paraId="020C16D4">
            <w:pPr>
              <w:spacing w:before="108" w:line="221" w:lineRule="auto"/>
              <w:ind w:left="372"/>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康复护理</w:t>
            </w:r>
          </w:p>
        </w:tc>
        <w:tc>
          <w:tcPr>
            <w:tcW w:w="6264" w:type="dxa"/>
            <w:vAlign w:val="center"/>
          </w:tcPr>
          <w:p w14:paraId="5A0C5D10">
            <w:pPr>
              <w:spacing w:before="109" w:line="219" w:lineRule="auto"/>
              <w:ind w:left="112"/>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包括康复评估、计划制定、康复指导、康复理疗等</w:t>
            </w:r>
          </w:p>
        </w:tc>
      </w:tr>
      <w:tr w14:paraId="6169F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947" w:type="dxa"/>
            <w:vMerge w:val="continue"/>
            <w:tcBorders>
              <w:top w:val="nil"/>
            </w:tcBorders>
            <w:vAlign w:val="center"/>
          </w:tcPr>
          <w:p w14:paraId="337710BE">
            <w:pPr>
              <w:jc w:val="center"/>
              <w:rPr>
                <w:rFonts w:hint="eastAsia" w:ascii="宋体" w:hAnsi="宋体" w:eastAsia="宋体" w:cs="宋体"/>
                <w:sz w:val="24"/>
                <w:szCs w:val="24"/>
                <w:highlight w:val="none"/>
              </w:rPr>
            </w:pPr>
          </w:p>
        </w:tc>
        <w:tc>
          <w:tcPr>
            <w:tcW w:w="1579" w:type="dxa"/>
            <w:vAlign w:val="center"/>
          </w:tcPr>
          <w:p w14:paraId="0199BF0C">
            <w:pPr>
              <w:spacing w:before="109" w:line="221" w:lineRule="auto"/>
              <w:ind w:left="375"/>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生活照护</w:t>
            </w:r>
          </w:p>
        </w:tc>
        <w:tc>
          <w:tcPr>
            <w:tcW w:w="6264" w:type="dxa"/>
            <w:vAlign w:val="center"/>
          </w:tcPr>
          <w:p w14:paraId="22331F1C">
            <w:pPr>
              <w:spacing w:before="109" w:line="221" w:lineRule="auto"/>
              <w:ind w:left="113"/>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协助穿（脱）衣、饮食照护、睡眠照护等</w:t>
            </w:r>
          </w:p>
        </w:tc>
      </w:tr>
      <w:tr w14:paraId="18634B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jc w:val="center"/>
        </w:trPr>
        <w:tc>
          <w:tcPr>
            <w:tcW w:w="947" w:type="dxa"/>
            <w:vMerge w:val="restart"/>
            <w:tcBorders>
              <w:bottom w:val="nil"/>
            </w:tcBorders>
            <w:vAlign w:val="center"/>
          </w:tcPr>
          <w:p w14:paraId="5B50AD3D">
            <w:pPr>
              <w:spacing w:before="284" w:line="221" w:lineRule="auto"/>
              <w:ind w:left="163"/>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探访关</w:t>
            </w:r>
          </w:p>
          <w:p w14:paraId="2CC18F11">
            <w:pPr>
              <w:spacing w:before="108" w:line="221" w:lineRule="auto"/>
              <w:ind w:left="170"/>
              <w:jc w:val="center"/>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爱服务</w:t>
            </w:r>
          </w:p>
        </w:tc>
        <w:tc>
          <w:tcPr>
            <w:tcW w:w="1579" w:type="dxa"/>
            <w:vAlign w:val="center"/>
          </w:tcPr>
          <w:p w14:paraId="02E1A53E">
            <w:pPr>
              <w:spacing w:before="111" w:line="221" w:lineRule="auto"/>
              <w:ind w:left="373"/>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远程服务</w:t>
            </w:r>
          </w:p>
        </w:tc>
        <w:tc>
          <w:tcPr>
            <w:tcW w:w="6264" w:type="dxa"/>
            <w:vAlign w:val="center"/>
          </w:tcPr>
          <w:p w14:paraId="672B41F9">
            <w:pPr>
              <w:spacing w:before="111" w:line="221" w:lineRule="auto"/>
              <w:ind w:left="112"/>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接受与协助老年人电话呼叫和紧急求助</w:t>
            </w:r>
          </w:p>
        </w:tc>
      </w:tr>
      <w:tr w14:paraId="37CC5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947" w:type="dxa"/>
            <w:vMerge w:val="continue"/>
            <w:tcBorders>
              <w:top w:val="nil"/>
            </w:tcBorders>
            <w:vAlign w:val="center"/>
          </w:tcPr>
          <w:p w14:paraId="197F3B74">
            <w:pPr>
              <w:jc w:val="center"/>
              <w:rPr>
                <w:rFonts w:hint="eastAsia" w:ascii="宋体" w:hAnsi="宋体" w:eastAsia="宋体" w:cs="宋体"/>
                <w:sz w:val="24"/>
                <w:szCs w:val="24"/>
                <w:highlight w:val="none"/>
              </w:rPr>
            </w:pPr>
          </w:p>
        </w:tc>
        <w:tc>
          <w:tcPr>
            <w:tcW w:w="1579" w:type="dxa"/>
            <w:vAlign w:val="center"/>
          </w:tcPr>
          <w:p w14:paraId="6C3610A9">
            <w:pPr>
              <w:spacing w:before="217" w:line="221" w:lineRule="auto"/>
              <w:ind w:left="375"/>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上门探访</w:t>
            </w:r>
          </w:p>
        </w:tc>
        <w:tc>
          <w:tcPr>
            <w:tcW w:w="6264" w:type="dxa"/>
            <w:vAlign w:val="center"/>
          </w:tcPr>
          <w:p w14:paraId="7D89DCCE">
            <w:pPr>
              <w:spacing w:before="60" w:line="241" w:lineRule="auto"/>
              <w:ind w:left="116" w:right="105" w:firstLine="15"/>
              <w:jc w:val="center"/>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了解掌握老年人的健康状况、精神状况、安全情况、卫生状况、居</w:t>
            </w:r>
            <w:r>
              <w:rPr>
                <w:rFonts w:hint="eastAsia" w:ascii="宋体" w:hAnsi="宋体" w:eastAsia="宋体" w:cs="宋体"/>
                <w:spacing w:val="-1"/>
                <w:sz w:val="24"/>
                <w:szCs w:val="24"/>
                <w:highlight w:val="none"/>
              </w:rPr>
              <w:t>室环境、服务需求等</w:t>
            </w:r>
          </w:p>
        </w:tc>
      </w:tr>
      <w:tr w14:paraId="55CD5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947" w:type="dxa"/>
            <w:vMerge w:val="restart"/>
            <w:tcBorders>
              <w:bottom w:val="nil"/>
            </w:tcBorders>
            <w:vAlign w:val="center"/>
          </w:tcPr>
          <w:p w14:paraId="186E29D4">
            <w:pPr>
              <w:spacing w:line="304" w:lineRule="auto"/>
              <w:jc w:val="center"/>
              <w:rPr>
                <w:rFonts w:hint="eastAsia" w:ascii="宋体" w:hAnsi="宋体" w:eastAsia="宋体" w:cs="宋体"/>
                <w:sz w:val="24"/>
                <w:szCs w:val="24"/>
                <w:highlight w:val="none"/>
              </w:rPr>
            </w:pPr>
          </w:p>
          <w:p w14:paraId="014EC8DE">
            <w:pPr>
              <w:spacing w:line="304" w:lineRule="auto"/>
              <w:jc w:val="center"/>
              <w:rPr>
                <w:rFonts w:hint="eastAsia" w:ascii="宋体" w:hAnsi="宋体" w:eastAsia="宋体" w:cs="宋体"/>
                <w:sz w:val="24"/>
                <w:szCs w:val="24"/>
                <w:highlight w:val="none"/>
              </w:rPr>
            </w:pPr>
          </w:p>
          <w:p w14:paraId="13454416">
            <w:pPr>
              <w:spacing w:before="68" w:line="221" w:lineRule="auto"/>
              <w:ind w:left="16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健康管</w:t>
            </w:r>
          </w:p>
          <w:p w14:paraId="0F4AC6D9">
            <w:pPr>
              <w:spacing w:before="108" w:line="221" w:lineRule="auto"/>
              <w:ind w:left="166"/>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理服务</w:t>
            </w:r>
          </w:p>
        </w:tc>
        <w:tc>
          <w:tcPr>
            <w:tcW w:w="1579" w:type="dxa"/>
            <w:vAlign w:val="center"/>
          </w:tcPr>
          <w:p w14:paraId="6614C495">
            <w:pPr>
              <w:spacing w:before="217" w:line="220" w:lineRule="auto"/>
              <w:ind w:left="373"/>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信息采集</w:t>
            </w:r>
          </w:p>
        </w:tc>
        <w:tc>
          <w:tcPr>
            <w:tcW w:w="6264" w:type="dxa"/>
            <w:vAlign w:val="center"/>
          </w:tcPr>
          <w:p w14:paraId="513CCF73">
            <w:pPr>
              <w:spacing w:before="60" w:line="241" w:lineRule="auto"/>
              <w:ind w:left="113" w:right="105" w:hanging="1"/>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采集老年人的体检信息、既往疾病史等健康信息，建立老年人健康档案</w:t>
            </w:r>
          </w:p>
        </w:tc>
      </w:tr>
      <w:tr w14:paraId="6099A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947" w:type="dxa"/>
            <w:vMerge w:val="continue"/>
            <w:tcBorders>
              <w:top w:val="nil"/>
              <w:bottom w:val="nil"/>
            </w:tcBorders>
            <w:vAlign w:val="center"/>
          </w:tcPr>
          <w:p w14:paraId="31BF9ED3">
            <w:pPr>
              <w:jc w:val="center"/>
              <w:rPr>
                <w:rFonts w:hint="eastAsia" w:ascii="宋体" w:hAnsi="宋体" w:eastAsia="宋体" w:cs="宋体"/>
                <w:sz w:val="24"/>
                <w:szCs w:val="24"/>
                <w:highlight w:val="none"/>
              </w:rPr>
            </w:pPr>
          </w:p>
        </w:tc>
        <w:tc>
          <w:tcPr>
            <w:tcW w:w="1579" w:type="dxa"/>
            <w:vAlign w:val="center"/>
          </w:tcPr>
          <w:p w14:paraId="5B2770D5">
            <w:pPr>
              <w:spacing w:before="61" w:line="221" w:lineRule="auto"/>
              <w:ind w:left="373"/>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健康咨询</w:t>
            </w:r>
          </w:p>
        </w:tc>
        <w:tc>
          <w:tcPr>
            <w:tcW w:w="6264" w:type="dxa"/>
            <w:vAlign w:val="center"/>
          </w:tcPr>
          <w:p w14:paraId="3AAEA020">
            <w:pPr>
              <w:spacing w:before="60" w:line="241" w:lineRule="auto"/>
              <w:ind w:left="118" w:right="105" w:hanging="3"/>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为老年人提供防跌倒、疾病预防、用药提醒与指导、膳食营养、康复保健等指导</w:t>
            </w:r>
          </w:p>
        </w:tc>
      </w:tr>
      <w:tr w14:paraId="6A6C6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947" w:type="dxa"/>
            <w:vMerge w:val="continue"/>
            <w:tcBorders>
              <w:top w:val="nil"/>
            </w:tcBorders>
            <w:vAlign w:val="center"/>
          </w:tcPr>
          <w:p w14:paraId="759F93C0">
            <w:pPr>
              <w:jc w:val="center"/>
              <w:rPr>
                <w:rFonts w:hint="eastAsia" w:ascii="宋体" w:hAnsi="宋体" w:eastAsia="宋体" w:cs="宋体"/>
                <w:sz w:val="24"/>
                <w:szCs w:val="24"/>
                <w:highlight w:val="none"/>
              </w:rPr>
            </w:pPr>
          </w:p>
        </w:tc>
        <w:tc>
          <w:tcPr>
            <w:tcW w:w="1579" w:type="dxa"/>
            <w:vAlign w:val="center"/>
          </w:tcPr>
          <w:p w14:paraId="6818EC3C">
            <w:pPr>
              <w:spacing w:before="61" w:line="221" w:lineRule="auto"/>
              <w:ind w:left="167"/>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常规生理指标监测</w:t>
            </w:r>
          </w:p>
        </w:tc>
        <w:tc>
          <w:tcPr>
            <w:tcW w:w="6264" w:type="dxa"/>
            <w:vAlign w:val="center"/>
          </w:tcPr>
          <w:p w14:paraId="4B0486E1">
            <w:pPr>
              <w:spacing w:before="217" w:line="221" w:lineRule="auto"/>
              <w:ind w:left="113"/>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监测体温、体重、血压、呼吸、心率、血糖等</w:t>
            </w:r>
          </w:p>
        </w:tc>
      </w:tr>
      <w:tr w14:paraId="0E310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947" w:type="dxa"/>
            <w:vMerge w:val="restart"/>
            <w:tcBorders>
              <w:bottom w:val="nil"/>
            </w:tcBorders>
            <w:vAlign w:val="center"/>
          </w:tcPr>
          <w:p w14:paraId="2A76EBA9">
            <w:pPr>
              <w:spacing w:line="289" w:lineRule="auto"/>
              <w:jc w:val="center"/>
              <w:rPr>
                <w:rFonts w:hint="eastAsia" w:ascii="宋体" w:hAnsi="宋体" w:eastAsia="宋体" w:cs="宋体"/>
                <w:sz w:val="24"/>
                <w:szCs w:val="24"/>
                <w:highlight w:val="none"/>
              </w:rPr>
            </w:pPr>
          </w:p>
          <w:p w14:paraId="5991FA31">
            <w:pPr>
              <w:spacing w:line="290" w:lineRule="auto"/>
              <w:jc w:val="center"/>
              <w:rPr>
                <w:rFonts w:hint="eastAsia" w:ascii="宋体" w:hAnsi="宋体" w:eastAsia="宋体" w:cs="宋体"/>
                <w:sz w:val="24"/>
                <w:szCs w:val="24"/>
                <w:highlight w:val="none"/>
              </w:rPr>
            </w:pPr>
          </w:p>
          <w:p w14:paraId="35107835">
            <w:pPr>
              <w:spacing w:before="68" w:line="221" w:lineRule="auto"/>
              <w:ind w:left="163"/>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委托代</w:t>
            </w:r>
          </w:p>
          <w:p w14:paraId="0C262074">
            <w:pPr>
              <w:spacing w:before="108" w:line="221" w:lineRule="auto"/>
              <w:ind w:left="168"/>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办服务</w:t>
            </w:r>
          </w:p>
        </w:tc>
        <w:tc>
          <w:tcPr>
            <w:tcW w:w="1579" w:type="dxa"/>
            <w:vAlign w:val="center"/>
          </w:tcPr>
          <w:p w14:paraId="5387D51E">
            <w:pPr>
              <w:spacing w:before="109" w:line="221" w:lineRule="auto"/>
              <w:ind w:left="161"/>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代购日常用品</w:t>
            </w:r>
          </w:p>
        </w:tc>
        <w:tc>
          <w:tcPr>
            <w:tcW w:w="6264" w:type="dxa"/>
            <w:vAlign w:val="center"/>
          </w:tcPr>
          <w:p w14:paraId="54EB75DA">
            <w:pPr>
              <w:spacing w:before="109" w:line="221" w:lineRule="auto"/>
              <w:ind w:left="112"/>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代购日常生活用品、果蔬等</w:t>
            </w:r>
          </w:p>
        </w:tc>
      </w:tr>
      <w:tr w14:paraId="546E36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947" w:type="dxa"/>
            <w:vMerge w:val="continue"/>
            <w:tcBorders>
              <w:top w:val="nil"/>
              <w:bottom w:val="nil"/>
            </w:tcBorders>
            <w:vAlign w:val="center"/>
          </w:tcPr>
          <w:p w14:paraId="2F80A0F3">
            <w:pPr>
              <w:jc w:val="center"/>
              <w:rPr>
                <w:rFonts w:hint="eastAsia" w:ascii="宋体" w:hAnsi="宋体" w:eastAsia="宋体" w:cs="宋体"/>
                <w:sz w:val="24"/>
                <w:szCs w:val="24"/>
                <w:highlight w:val="none"/>
              </w:rPr>
            </w:pPr>
          </w:p>
        </w:tc>
        <w:tc>
          <w:tcPr>
            <w:tcW w:w="1579" w:type="dxa"/>
            <w:vAlign w:val="center"/>
          </w:tcPr>
          <w:p w14:paraId="560E7688">
            <w:pPr>
              <w:spacing w:before="108" w:line="221" w:lineRule="auto"/>
              <w:ind w:left="161"/>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代缴日常费用</w:t>
            </w:r>
          </w:p>
        </w:tc>
        <w:tc>
          <w:tcPr>
            <w:tcW w:w="6264" w:type="dxa"/>
            <w:vAlign w:val="center"/>
          </w:tcPr>
          <w:p w14:paraId="36041BE2">
            <w:pPr>
              <w:spacing w:before="108" w:line="221" w:lineRule="auto"/>
              <w:ind w:left="112"/>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代缴水、电、暖气、通讯费等日常费用</w:t>
            </w:r>
          </w:p>
        </w:tc>
      </w:tr>
      <w:tr w14:paraId="55691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947" w:type="dxa"/>
            <w:vMerge w:val="continue"/>
            <w:tcBorders>
              <w:top w:val="nil"/>
              <w:bottom w:val="nil"/>
            </w:tcBorders>
            <w:vAlign w:val="center"/>
          </w:tcPr>
          <w:p w14:paraId="43BBC39A">
            <w:pPr>
              <w:jc w:val="center"/>
              <w:rPr>
                <w:rFonts w:hint="eastAsia" w:ascii="宋体" w:hAnsi="宋体" w:eastAsia="宋体" w:cs="宋体"/>
                <w:sz w:val="24"/>
                <w:szCs w:val="24"/>
                <w:highlight w:val="none"/>
              </w:rPr>
            </w:pPr>
          </w:p>
        </w:tc>
        <w:tc>
          <w:tcPr>
            <w:tcW w:w="1579" w:type="dxa"/>
            <w:vAlign w:val="center"/>
          </w:tcPr>
          <w:p w14:paraId="7D9D0242">
            <w:pPr>
              <w:spacing w:before="109" w:line="221" w:lineRule="auto"/>
              <w:ind w:left="161"/>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代订代取业务</w:t>
            </w:r>
          </w:p>
        </w:tc>
        <w:tc>
          <w:tcPr>
            <w:tcW w:w="6264" w:type="dxa"/>
            <w:vAlign w:val="center"/>
          </w:tcPr>
          <w:p w14:paraId="4EE14A5E">
            <w:pPr>
              <w:spacing w:before="109" w:line="221" w:lineRule="auto"/>
              <w:ind w:left="11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代订车票、预约车辆，代取送信函、文件和</w:t>
            </w:r>
            <w:r>
              <w:rPr>
                <w:rFonts w:hint="eastAsia" w:ascii="宋体" w:hAnsi="宋体" w:eastAsia="宋体" w:cs="宋体"/>
                <w:spacing w:val="-1"/>
                <w:sz w:val="24"/>
                <w:szCs w:val="24"/>
                <w:highlight w:val="none"/>
              </w:rPr>
              <w:t>物品等</w:t>
            </w:r>
          </w:p>
        </w:tc>
      </w:tr>
      <w:tr w14:paraId="70424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947" w:type="dxa"/>
            <w:vMerge w:val="continue"/>
            <w:tcBorders>
              <w:top w:val="nil"/>
            </w:tcBorders>
            <w:vAlign w:val="center"/>
          </w:tcPr>
          <w:p w14:paraId="12EC2673">
            <w:pPr>
              <w:jc w:val="center"/>
              <w:rPr>
                <w:rFonts w:hint="eastAsia" w:ascii="宋体" w:hAnsi="宋体" w:eastAsia="宋体" w:cs="宋体"/>
                <w:sz w:val="24"/>
                <w:szCs w:val="24"/>
                <w:highlight w:val="none"/>
              </w:rPr>
            </w:pPr>
          </w:p>
        </w:tc>
        <w:tc>
          <w:tcPr>
            <w:tcW w:w="1579" w:type="dxa"/>
            <w:vAlign w:val="center"/>
          </w:tcPr>
          <w:p w14:paraId="7345102E">
            <w:pPr>
              <w:spacing w:before="110" w:line="221" w:lineRule="auto"/>
              <w:ind w:left="161"/>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代为申请服务</w:t>
            </w:r>
          </w:p>
        </w:tc>
        <w:tc>
          <w:tcPr>
            <w:tcW w:w="6264" w:type="dxa"/>
            <w:vAlign w:val="center"/>
          </w:tcPr>
          <w:p w14:paraId="6AF1B244">
            <w:pPr>
              <w:spacing w:before="110" w:line="221" w:lineRule="auto"/>
              <w:ind w:left="112"/>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代为申请法律援助、救助服务等</w:t>
            </w:r>
          </w:p>
        </w:tc>
      </w:tr>
      <w:tr w14:paraId="1EA5D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947" w:type="dxa"/>
            <w:vMerge w:val="restart"/>
            <w:tcBorders>
              <w:bottom w:val="nil"/>
            </w:tcBorders>
            <w:vAlign w:val="center"/>
          </w:tcPr>
          <w:p w14:paraId="192CEEAE">
            <w:pPr>
              <w:spacing w:line="356" w:lineRule="auto"/>
              <w:jc w:val="center"/>
              <w:rPr>
                <w:rFonts w:hint="eastAsia" w:ascii="宋体" w:hAnsi="宋体" w:eastAsia="宋体" w:cs="宋体"/>
                <w:sz w:val="24"/>
                <w:szCs w:val="24"/>
                <w:highlight w:val="none"/>
              </w:rPr>
            </w:pPr>
          </w:p>
          <w:p w14:paraId="6A8369FE">
            <w:pPr>
              <w:spacing w:before="69" w:line="220" w:lineRule="auto"/>
              <w:ind w:left="16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精神慰</w:t>
            </w:r>
          </w:p>
          <w:p w14:paraId="3D25B99E">
            <w:pPr>
              <w:spacing w:before="109" w:line="220" w:lineRule="auto"/>
              <w:ind w:left="16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藉服务</w:t>
            </w:r>
          </w:p>
        </w:tc>
        <w:tc>
          <w:tcPr>
            <w:tcW w:w="1579" w:type="dxa"/>
            <w:vAlign w:val="center"/>
          </w:tcPr>
          <w:p w14:paraId="1F4407EF">
            <w:pPr>
              <w:spacing w:before="153" w:line="221" w:lineRule="auto"/>
              <w:ind w:left="376"/>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亲情陪护</w:t>
            </w:r>
          </w:p>
        </w:tc>
        <w:tc>
          <w:tcPr>
            <w:tcW w:w="6264" w:type="dxa"/>
            <w:vAlign w:val="center"/>
          </w:tcPr>
          <w:p w14:paraId="2CA6B6EB">
            <w:pPr>
              <w:spacing w:before="153" w:line="220" w:lineRule="auto"/>
              <w:ind w:left="11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定期协助有意愿的老年人外出活动或前往服务</w:t>
            </w:r>
            <w:r>
              <w:rPr>
                <w:rFonts w:hint="eastAsia" w:ascii="宋体" w:hAnsi="宋体" w:eastAsia="宋体" w:cs="宋体"/>
                <w:spacing w:val="-1"/>
                <w:sz w:val="24"/>
                <w:szCs w:val="24"/>
                <w:highlight w:val="none"/>
              </w:rPr>
              <w:t>机构参加集体活动</w:t>
            </w:r>
          </w:p>
        </w:tc>
      </w:tr>
      <w:tr w14:paraId="4E894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jc w:val="center"/>
        </w:trPr>
        <w:tc>
          <w:tcPr>
            <w:tcW w:w="947" w:type="dxa"/>
            <w:vMerge w:val="continue"/>
            <w:tcBorders>
              <w:top w:val="nil"/>
              <w:bottom w:val="nil"/>
            </w:tcBorders>
            <w:vAlign w:val="center"/>
          </w:tcPr>
          <w:p w14:paraId="6C3EF963">
            <w:pPr>
              <w:jc w:val="center"/>
              <w:rPr>
                <w:rFonts w:hint="eastAsia" w:ascii="宋体" w:hAnsi="宋体" w:eastAsia="宋体" w:cs="宋体"/>
                <w:sz w:val="24"/>
                <w:szCs w:val="24"/>
                <w:highlight w:val="none"/>
              </w:rPr>
            </w:pPr>
          </w:p>
        </w:tc>
        <w:tc>
          <w:tcPr>
            <w:tcW w:w="1579" w:type="dxa"/>
            <w:vAlign w:val="center"/>
          </w:tcPr>
          <w:p w14:paraId="76372DB0">
            <w:pPr>
              <w:spacing w:before="113" w:line="221" w:lineRule="auto"/>
              <w:ind w:left="374"/>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情绪疏导</w:t>
            </w:r>
          </w:p>
        </w:tc>
        <w:tc>
          <w:tcPr>
            <w:tcW w:w="6264" w:type="dxa"/>
            <w:vAlign w:val="center"/>
          </w:tcPr>
          <w:p w14:paraId="0B880B5D">
            <w:pPr>
              <w:spacing w:before="113" w:line="221" w:lineRule="auto"/>
              <w:ind w:left="117"/>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与老年人进行谈心、交流，耐心倾听老年人的诉说</w:t>
            </w:r>
          </w:p>
        </w:tc>
      </w:tr>
      <w:tr w14:paraId="4DE62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947" w:type="dxa"/>
            <w:vMerge w:val="continue"/>
            <w:tcBorders>
              <w:top w:val="nil"/>
            </w:tcBorders>
            <w:vAlign w:val="center"/>
          </w:tcPr>
          <w:p w14:paraId="2D02ECA7">
            <w:pPr>
              <w:jc w:val="center"/>
              <w:rPr>
                <w:rFonts w:hint="eastAsia" w:ascii="宋体" w:hAnsi="宋体" w:eastAsia="宋体" w:cs="宋体"/>
                <w:sz w:val="24"/>
                <w:szCs w:val="24"/>
                <w:highlight w:val="none"/>
              </w:rPr>
            </w:pPr>
          </w:p>
        </w:tc>
        <w:tc>
          <w:tcPr>
            <w:tcW w:w="1579" w:type="dxa"/>
            <w:vAlign w:val="center"/>
          </w:tcPr>
          <w:p w14:paraId="1663489B">
            <w:pPr>
              <w:spacing w:before="111" w:line="220" w:lineRule="auto"/>
              <w:ind w:left="381"/>
              <w:jc w:val="center"/>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心理慰藉</w:t>
            </w:r>
          </w:p>
        </w:tc>
        <w:tc>
          <w:tcPr>
            <w:tcW w:w="6264" w:type="dxa"/>
            <w:vAlign w:val="center"/>
          </w:tcPr>
          <w:p w14:paraId="4569A739">
            <w:pPr>
              <w:spacing w:before="111" w:line="220" w:lineRule="auto"/>
              <w:ind w:left="11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通过心理健康教育、心理干预手段调整老年人</w:t>
            </w:r>
            <w:r>
              <w:rPr>
                <w:rFonts w:hint="eastAsia" w:ascii="宋体" w:hAnsi="宋体" w:eastAsia="宋体" w:cs="宋体"/>
                <w:spacing w:val="-1"/>
                <w:sz w:val="24"/>
                <w:szCs w:val="24"/>
                <w:highlight w:val="none"/>
              </w:rPr>
              <w:t>心理状态</w:t>
            </w:r>
          </w:p>
        </w:tc>
      </w:tr>
    </w:tbl>
    <w:p w14:paraId="48A42C64">
      <w:pPr>
        <w:keepNext w:val="0"/>
        <w:keepLines w:val="0"/>
        <w:pageBreakBefore w:val="0"/>
        <w:widowControl w:val="0"/>
        <w:kinsoku/>
        <w:wordWrap/>
        <w:overflowPunct/>
        <w:topLinePunct w:val="0"/>
        <w:autoSpaceDE/>
        <w:autoSpaceDN/>
        <w:bidi w:val="0"/>
        <w:adjustRightInd/>
        <w:snapToGrid/>
        <w:spacing w:line="550" w:lineRule="exact"/>
        <w:textAlignment w:val="auto"/>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三</w:t>
      </w:r>
      <w:r>
        <w:rPr>
          <w:rFonts w:hint="eastAsia" w:ascii="宋体" w:hAnsi="宋体" w:eastAsia="宋体" w:cs="宋体"/>
          <w:b/>
          <w:bCs/>
          <w:color w:val="000000" w:themeColor="text1"/>
          <w:szCs w:val="24"/>
          <w:highlight w:val="none"/>
          <w14:textFill>
            <w14:solidFill>
              <w14:schemeClr w14:val="tx1"/>
            </w14:solidFill>
          </w14:textFill>
        </w:rPr>
        <w:t>、商务要求</w:t>
      </w:r>
    </w:p>
    <w:p w14:paraId="3AB52459">
      <w:pPr>
        <w:keepNext w:val="0"/>
        <w:keepLines w:val="0"/>
        <w:pageBreakBefore w:val="0"/>
        <w:widowControl w:val="0"/>
        <w:kinsoku/>
        <w:wordWrap/>
        <w:overflowPunct/>
        <w:topLinePunct w:val="0"/>
        <w:autoSpaceDE/>
        <w:autoSpaceDN/>
        <w:bidi w:val="0"/>
        <w:adjustRightInd/>
        <w:snapToGrid/>
        <w:spacing w:line="55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1、结算说明：居家养老上门服务</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按照成交清单报价结算，每户清单报价合计超过3000</w:t>
      </w:r>
      <w:r>
        <w:rPr>
          <w:rFonts w:hint="eastAsia" w:ascii="宋体" w:hAnsi="宋体" w:eastAsia="宋体" w:cs="宋体"/>
          <w:color w:val="000000" w:themeColor="text1"/>
          <w:szCs w:val="24"/>
          <w:highlight w:val="none"/>
          <w:lang w:val="en-US" w:eastAsia="zh-CN"/>
          <w14:textFill>
            <w14:solidFill>
              <w14:schemeClr w14:val="tx1"/>
            </w14:solidFill>
          </w14:textFill>
        </w:rPr>
        <w:t>.00</w:t>
      </w:r>
      <w:r>
        <w:rPr>
          <w:rFonts w:hint="eastAsia" w:ascii="宋体" w:hAnsi="宋体" w:eastAsia="宋体" w:cs="宋体"/>
          <w:color w:val="000000" w:themeColor="text1"/>
          <w:szCs w:val="24"/>
          <w:highlight w:val="none"/>
          <w14:textFill>
            <w14:solidFill>
              <w14:schemeClr w14:val="tx1"/>
            </w14:solidFill>
          </w14:textFill>
        </w:rPr>
        <w:t>元，按照 3000</w:t>
      </w:r>
      <w:r>
        <w:rPr>
          <w:rFonts w:hint="eastAsia" w:ascii="宋体" w:hAnsi="宋体" w:eastAsia="宋体" w:cs="宋体"/>
          <w:color w:val="000000" w:themeColor="text1"/>
          <w:szCs w:val="24"/>
          <w:highlight w:val="none"/>
          <w:lang w:val="en-US" w:eastAsia="zh-CN"/>
          <w14:textFill>
            <w14:solidFill>
              <w14:schemeClr w14:val="tx1"/>
            </w14:solidFill>
          </w14:textFill>
        </w:rPr>
        <w:t>.00</w:t>
      </w:r>
      <w:r>
        <w:rPr>
          <w:rFonts w:hint="eastAsia" w:ascii="宋体" w:hAnsi="宋体" w:eastAsia="宋体" w:cs="宋体"/>
          <w:color w:val="000000" w:themeColor="text1"/>
          <w:szCs w:val="24"/>
          <w:highlight w:val="none"/>
          <w14:textFill>
            <w14:solidFill>
              <w14:schemeClr w14:val="tx1"/>
            </w14:solidFill>
          </w14:textFill>
        </w:rPr>
        <w:t>元结算，不足 3000</w:t>
      </w:r>
      <w:r>
        <w:rPr>
          <w:rFonts w:hint="eastAsia" w:ascii="宋体" w:hAnsi="宋体" w:eastAsia="宋体" w:cs="宋体"/>
          <w:color w:val="000000" w:themeColor="text1"/>
          <w:szCs w:val="24"/>
          <w:highlight w:val="none"/>
          <w:lang w:val="en-US" w:eastAsia="zh-CN"/>
          <w14:textFill>
            <w14:solidFill>
              <w14:schemeClr w14:val="tx1"/>
            </w14:solidFill>
          </w14:textFill>
        </w:rPr>
        <w:t>.00</w:t>
      </w:r>
      <w:r>
        <w:rPr>
          <w:rFonts w:hint="eastAsia" w:ascii="宋体" w:hAnsi="宋体" w:eastAsia="宋体" w:cs="宋体"/>
          <w:color w:val="000000" w:themeColor="text1"/>
          <w:szCs w:val="24"/>
          <w:highlight w:val="none"/>
          <w14:textFill>
            <w14:solidFill>
              <w14:schemeClr w14:val="tx1"/>
            </w14:solidFill>
          </w14:textFill>
        </w:rPr>
        <w:t>元，按照实际金额结算，结算总金额不超过成交总价。</w:t>
      </w:r>
    </w:p>
    <w:p w14:paraId="50844387">
      <w:pPr>
        <w:keepNext w:val="0"/>
        <w:keepLines w:val="0"/>
        <w:pageBreakBefore w:val="0"/>
        <w:widowControl w:val="0"/>
        <w:kinsoku/>
        <w:wordWrap/>
        <w:overflowPunct/>
        <w:topLinePunct w:val="0"/>
        <w:autoSpaceDE/>
        <w:autoSpaceDN/>
        <w:bidi w:val="0"/>
        <w:adjustRightInd/>
        <w:snapToGrid/>
        <w:spacing w:line="55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2、质量标准</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合格，符合现行国家、地方及行业相关规范及</w:t>
      </w:r>
      <w:r>
        <w:rPr>
          <w:rFonts w:hint="eastAsia" w:ascii="宋体" w:hAnsi="宋体" w:eastAsia="宋体" w:cs="宋体"/>
          <w:color w:val="000000" w:themeColor="text1"/>
          <w:szCs w:val="24"/>
          <w:highlight w:val="none"/>
          <w:lang w:val="en-US" w:eastAsia="zh-CN"/>
          <w14:textFill>
            <w14:solidFill>
              <w14:schemeClr w14:val="tx1"/>
            </w14:solidFill>
          </w14:textFill>
        </w:rPr>
        <w:t>采购人</w:t>
      </w:r>
      <w:r>
        <w:rPr>
          <w:rFonts w:hint="eastAsia" w:ascii="宋体" w:hAnsi="宋体" w:eastAsia="宋体" w:cs="宋体"/>
          <w:color w:val="000000" w:themeColor="text1"/>
          <w:szCs w:val="24"/>
          <w:highlight w:val="none"/>
          <w14:textFill>
            <w14:solidFill>
              <w14:schemeClr w14:val="tx1"/>
            </w14:solidFill>
          </w14:textFill>
        </w:rPr>
        <w:t>要求。</w:t>
      </w:r>
    </w:p>
    <w:p w14:paraId="407FC8CB">
      <w:pPr>
        <w:keepNext w:val="0"/>
        <w:keepLines w:val="0"/>
        <w:pageBreakBefore w:val="0"/>
        <w:widowControl w:val="0"/>
        <w:kinsoku/>
        <w:wordWrap/>
        <w:overflowPunct/>
        <w:topLinePunct w:val="0"/>
        <w:autoSpaceDE/>
        <w:autoSpaceDN/>
        <w:bidi w:val="0"/>
        <w:adjustRightInd/>
        <w:snapToGrid/>
        <w:spacing w:line="550" w:lineRule="exact"/>
        <w:ind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3、服务期限：自签订合同之日起</w:t>
      </w:r>
      <w:r>
        <w:rPr>
          <w:rFonts w:hint="eastAsia" w:ascii="宋体" w:hAnsi="宋体" w:eastAsia="宋体" w:cs="宋体"/>
          <w:color w:val="000000" w:themeColor="text1"/>
          <w:szCs w:val="24"/>
          <w:highlight w:val="none"/>
          <w:lang w:val="en-US" w:eastAsia="zh-CN"/>
          <w14:textFill>
            <w14:solidFill>
              <w14:schemeClr w14:val="tx1"/>
            </w14:solidFill>
          </w14:textFill>
        </w:rPr>
        <w:t>1年（具体服务起止日期可随合同签订时间相应顺延）</w:t>
      </w:r>
    </w:p>
    <w:p w14:paraId="70A5B5FD">
      <w:pPr>
        <w:keepNext w:val="0"/>
        <w:keepLines w:val="0"/>
        <w:pageBreakBefore w:val="0"/>
        <w:widowControl w:val="0"/>
        <w:kinsoku/>
        <w:wordWrap/>
        <w:overflowPunct/>
        <w:topLinePunct w:val="0"/>
        <w:autoSpaceDE/>
        <w:autoSpaceDN/>
        <w:bidi w:val="0"/>
        <w:adjustRightInd/>
        <w:snapToGrid/>
        <w:spacing w:line="550" w:lineRule="exact"/>
        <w:ind w:firstLine="480" w:firstLineChars="200"/>
        <w:textAlignment w:val="auto"/>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r>
        <w:rPr>
          <w:rFonts w:hint="eastAsia" w:ascii="宋体" w:hAnsi="宋体" w:eastAsia="宋体" w:cs="宋体"/>
          <w:color w:val="000000" w:themeColor="text1"/>
          <w:szCs w:val="24"/>
          <w:highlight w:val="none"/>
          <w:lang w:eastAsia="zh-CN"/>
          <w14:textFill>
            <w14:solidFill>
              <w14:schemeClr w14:val="tx1"/>
            </w14:solidFill>
          </w14:textFill>
        </w:rPr>
        <w:t>付款方式：项目结束后,经对项目抽查满意度达合格后支付全部合同价款。</w:t>
      </w:r>
    </w:p>
    <w:p w14:paraId="51BA6312">
      <w:pPr>
        <w:keepNext w:val="0"/>
        <w:keepLines w:val="0"/>
        <w:pageBreakBefore w:val="0"/>
        <w:widowControl w:val="0"/>
        <w:kinsoku/>
        <w:wordWrap/>
        <w:overflowPunct/>
        <w:topLinePunct w:val="0"/>
        <w:autoSpaceDE/>
        <w:autoSpaceDN/>
        <w:bidi w:val="0"/>
        <w:adjustRightInd/>
        <w:snapToGrid/>
        <w:spacing w:line="550" w:lineRule="exact"/>
        <w:textAlignment w:val="auto"/>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三</w:t>
      </w:r>
      <w:r>
        <w:rPr>
          <w:rFonts w:hint="eastAsia" w:ascii="宋体" w:hAnsi="宋体" w:eastAsia="宋体" w:cs="宋体"/>
          <w:b/>
          <w:bCs/>
          <w:color w:val="000000" w:themeColor="text1"/>
          <w:szCs w:val="24"/>
          <w:highlight w:val="none"/>
          <w14:textFill>
            <w14:solidFill>
              <w14:schemeClr w14:val="tx1"/>
            </w14:solidFill>
          </w14:textFill>
        </w:rPr>
        <w:t>、不可抗力</w:t>
      </w:r>
    </w:p>
    <w:p w14:paraId="052C820B">
      <w:pPr>
        <w:keepNext w:val="0"/>
        <w:keepLines w:val="0"/>
        <w:pageBreakBefore w:val="0"/>
        <w:widowControl w:val="0"/>
        <w:kinsoku/>
        <w:wordWrap/>
        <w:overflowPunct/>
        <w:topLinePunct w:val="0"/>
        <w:autoSpaceDE/>
        <w:autoSpaceDN/>
        <w:bidi w:val="0"/>
        <w:adjustRightInd/>
        <w:snapToGrid/>
        <w:spacing w:line="560" w:lineRule="exact"/>
        <w:ind w:left="0" w:firstLine="480" w:firstLineChars="200"/>
        <w:textAlignment w:val="auto"/>
        <w:rPr>
          <w:rFonts w:hint="eastAsia" w:ascii="宋体" w:hAnsi="宋体" w:eastAsia="宋体" w:cs="宋体"/>
          <w:b w:val="0"/>
          <w:bCs w:val="0"/>
          <w:spacing w:val="-3"/>
          <w:sz w:val="24"/>
          <w:szCs w:val="24"/>
          <w:highlight w:val="none"/>
        </w:rPr>
      </w:pPr>
      <w:r>
        <w:rPr>
          <w:rFonts w:hint="eastAsia" w:ascii="宋体" w:hAnsi="宋体" w:eastAsia="宋体" w:cs="宋体"/>
          <w:color w:val="000000" w:themeColor="text1"/>
          <w:szCs w:val="24"/>
          <w:highlight w:val="none"/>
          <w14:textFill>
            <w14:solidFill>
              <w14:schemeClr w14:val="tx1"/>
            </w14:solidFill>
          </w14:textFill>
        </w:rPr>
        <w:t>双方的任何一方由于不可抗力的原因不能履行合同时，应及时向对方通报不能履行或不能完全履行的理由，以减轻可能给对方造成的损失，在取得有关机构证明以后，允许延期履行、部分履行或者不履行合同，并根据情况可部分或全部免予承担违约责任。</w:t>
      </w:r>
    </w:p>
    <w:p w14:paraId="6D16814A">
      <w:pPr>
        <w:keepNext w:val="0"/>
        <w:keepLines w:val="0"/>
        <w:pageBreakBefore w:val="0"/>
        <w:widowControl w:val="0"/>
        <w:kinsoku/>
        <w:wordWrap/>
        <w:overflowPunct/>
        <w:topLinePunct w:val="0"/>
        <w:autoSpaceDE/>
        <w:autoSpaceDN/>
        <w:bidi w:val="0"/>
        <w:adjustRightInd/>
        <w:snapToGrid/>
        <w:spacing w:line="560" w:lineRule="exact"/>
        <w:ind w:left="0" w:right="0" w:firstLine="484"/>
        <w:textAlignment w:val="auto"/>
        <w:rPr>
          <w:rFonts w:hint="eastAsia" w:ascii="宋体" w:hAnsi="宋体" w:eastAsia="宋体" w:cs="宋体"/>
          <w:b w:val="0"/>
          <w:bCs w:val="0"/>
          <w:spacing w:val="-1"/>
          <w:sz w:val="24"/>
          <w:szCs w:val="24"/>
          <w:highlight w:val="green"/>
          <w:lang w:val="en-US" w:eastAsia="zh-CN"/>
        </w:rPr>
        <w:sectPr>
          <w:footerReference r:id="rId5" w:type="default"/>
          <w:pgSz w:w="11906" w:h="16839"/>
          <w:pgMar w:top="1701" w:right="1080" w:bottom="1701" w:left="1080" w:header="0" w:footer="953" w:gutter="0"/>
          <w:pgNumType w:fmt="decimal"/>
          <w:cols w:space="720" w:num="1"/>
        </w:sectPr>
      </w:pPr>
    </w:p>
    <w:p w14:paraId="31EB95DC">
      <w:pPr>
        <w:tabs>
          <w:tab w:val="left" w:pos="1080"/>
          <w:tab w:val="left" w:pos="1155"/>
        </w:tabs>
        <w:spacing w:line="520" w:lineRule="exact"/>
        <w:jc w:val="center"/>
        <w:outlineLvl w:val="0"/>
        <w:rPr>
          <w:rFonts w:ascii="宋体" w:hAnsi="宋体" w:eastAsia="宋体" w:cs="宋体"/>
          <w:b/>
          <w:bCs/>
          <w:color w:val="000000" w:themeColor="text1"/>
          <w:sz w:val="32"/>
          <w:szCs w:val="32"/>
          <w:highlight w:val="none"/>
          <w14:textFill>
            <w14:solidFill>
              <w14:schemeClr w14:val="tx1"/>
            </w14:solidFill>
          </w14:textFill>
        </w:rPr>
      </w:pPr>
      <w:bookmarkStart w:id="62" w:name="bookmark20"/>
      <w:bookmarkEnd w:id="62"/>
      <w:bookmarkStart w:id="63" w:name="_Toc1636"/>
      <w:r>
        <w:rPr>
          <w:rFonts w:hint="eastAsia" w:ascii="宋体" w:hAnsi="宋体" w:eastAsia="宋体" w:cs="宋体"/>
          <w:b/>
          <w:bCs/>
          <w:color w:val="000000" w:themeColor="text1"/>
          <w:sz w:val="32"/>
          <w:szCs w:val="32"/>
          <w:highlight w:val="none"/>
          <w14:textFill>
            <w14:solidFill>
              <w14:schemeClr w14:val="tx1"/>
            </w14:solidFill>
          </w14:textFill>
        </w:rPr>
        <w:t>第四章</w:t>
      </w:r>
      <w:r>
        <w:rPr>
          <w:rFonts w:hint="eastAsia" w:ascii="宋体" w:hAnsi="宋体" w:eastAsia="宋体" w:cs="宋体"/>
          <w:b/>
          <w:bCs/>
          <w:color w:val="000000" w:themeColor="text1"/>
          <w:kern w:val="0"/>
          <w:sz w:val="36"/>
          <w:szCs w:val="36"/>
          <w:highlight w:val="none"/>
          <w14:textFill>
            <w14:solidFill>
              <w14:schemeClr w14:val="tx1"/>
            </w14:solidFill>
          </w14:textFill>
        </w:rPr>
        <w:t xml:space="preserve">  </w:t>
      </w:r>
      <w:bookmarkStart w:id="64" w:name="_Toc16393"/>
      <w:bookmarkStart w:id="65" w:name="_Toc458617747"/>
      <w:bookmarkStart w:id="66" w:name="_Toc458617470"/>
      <w:r>
        <w:rPr>
          <w:rFonts w:hint="eastAsia" w:ascii="宋体" w:hAnsi="宋体" w:eastAsia="宋体" w:cs="宋体"/>
          <w:b/>
          <w:bCs/>
          <w:color w:val="000000" w:themeColor="text1"/>
          <w:sz w:val="32"/>
          <w:szCs w:val="32"/>
          <w:highlight w:val="none"/>
          <w14:textFill>
            <w14:solidFill>
              <w14:schemeClr w14:val="tx1"/>
            </w14:solidFill>
          </w14:textFill>
        </w:rPr>
        <w:t>合同主要条款及格式</w:t>
      </w:r>
      <w:bookmarkEnd w:id="60"/>
      <w:bookmarkEnd w:id="61"/>
      <w:bookmarkEnd w:id="63"/>
    </w:p>
    <w:p w14:paraId="654EB5BC">
      <w:pPr>
        <w:tabs>
          <w:tab w:val="left" w:pos="1080"/>
          <w:tab w:val="left" w:pos="1155"/>
        </w:tabs>
        <w:spacing w:line="560" w:lineRule="exact"/>
        <w:jc w:val="center"/>
        <w:rPr>
          <w:rFonts w:ascii="宋体" w:hAnsi="宋体" w:eastAsia="宋体" w:cs="宋体"/>
          <w:b/>
          <w:bCs/>
          <w:sz w:val="30"/>
          <w:szCs w:val="30"/>
          <w:highlight w:val="none"/>
        </w:rPr>
      </w:pPr>
      <w:bookmarkStart w:id="67" w:name="_Toc129703224"/>
      <w:bookmarkStart w:id="68" w:name="_Toc1791"/>
      <w:r>
        <w:rPr>
          <w:rFonts w:hint="eastAsia" w:ascii="宋体" w:hAnsi="宋体" w:eastAsia="宋体" w:cs="宋体"/>
          <w:b/>
          <w:bCs/>
          <w:sz w:val="30"/>
          <w:szCs w:val="30"/>
          <w:highlight w:val="none"/>
        </w:rPr>
        <w:t>（合同仅供参考，具体以中标后双方协议合同为准。）</w:t>
      </w:r>
    </w:p>
    <w:p w14:paraId="226BA35D">
      <w:pPr>
        <w:spacing w:line="480" w:lineRule="exact"/>
        <w:ind w:firstLine="482" w:firstLineChars="200"/>
        <w:rPr>
          <w:rFonts w:ascii="宋体" w:hAnsi="宋体" w:eastAsia="宋体" w:cs="宋体"/>
          <w:b/>
          <w:szCs w:val="24"/>
          <w:highlight w:val="none"/>
        </w:rPr>
      </w:pPr>
      <w:r>
        <w:rPr>
          <w:rFonts w:hint="eastAsia" w:ascii="宋体" w:hAnsi="宋体" w:eastAsia="宋体" w:cs="宋体"/>
          <w:b/>
          <w:szCs w:val="24"/>
          <w:highlight w:val="none"/>
        </w:rPr>
        <w:t>采购人（全称）：</w:t>
      </w:r>
      <w:r>
        <w:rPr>
          <w:rFonts w:hint="eastAsia" w:ascii="宋体" w:hAnsi="宋体" w:eastAsia="宋体" w:cs="宋体"/>
          <w:b/>
          <w:szCs w:val="24"/>
          <w:highlight w:val="none"/>
          <w:u w:val="single"/>
        </w:rPr>
        <w:t xml:space="preserve">                       </w:t>
      </w:r>
    </w:p>
    <w:p w14:paraId="38645A25">
      <w:pPr>
        <w:spacing w:line="480" w:lineRule="exact"/>
        <w:ind w:firstLine="482" w:firstLineChars="200"/>
        <w:rPr>
          <w:rFonts w:ascii="宋体" w:hAnsi="宋体" w:eastAsia="宋体" w:cs="宋体"/>
          <w:szCs w:val="24"/>
          <w:highlight w:val="none"/>
        </w:rPr>
      </w:pPr>
      <w:r>
        <w:rPr>
          <w:rFonts w:hint="eastAsia" w:ascii="宋体" w:hAnsi="宋体" w:eastAsia="宋体" w:cs="宋体"/>
          <w:b/>
          <w:szCs w:val="24"/>
          <w:highlight w:val="none"/>
        </w:rPr>
        <w:t>供应商（全称）：</w:t>
      </w:r>
      <w:r>
        <w:rPr>
          <w:rFonts w:hint="eastAsia" w:ascii="宋体" w:hAnsi="宋体" w:eastAsia="宋体" w:cs="宋体"/>
          <w:b/>
          <w:szCs w:val="24"/>
          <w:highlight w:val="none"/>
          <w:u w:val="single"/>
        </w:rPr>
        <w:t xml:space="preserve">                       </w:t>
      </w:r>
    </w:p>
    <w:p w14:paraId="0C4CB15B">
      <w:pPr>
        <w:spacing w:line="480" w:lineRule="exact"/>
        <w:ind w:firstLine="480" w:firstLineChars="200"/>
        <w:rPr>
          <w:rFonts w:ascii="宋体" w:hAnsi="宋体" w:eastAsia="宋体" w:cs="宋体"/>
          <w:szCs w:val="24"/>
          <w:highlight w:val="none"/>
          <w:u w:val="single"/>
        </w:rPr>
      </w:pPr>
      <w:r>
        <w:rPr>
          <w:rFonts w:hint="eastAsia" w:ascii="宋体" w:hAnsi="宋体" w:eastAsia="宋体" w:cs="宋体"/>
          <w:szCs w:val="24"/>
          <w:highlight w:val="none"/>
        </w:rPr>
        <w:t>根据《中华人民共和国民法典》及其他有关法律、法规，遵循平等、自愿、公平和诚信的原则，双方就下述项目范围与相关服务事项协商一致，订立本合同。</w:t>
      </w:r>
    </w:p>
    <w:p w14:paraId="227C5FA9">
      <w:pPr>
        <w:spacing w:line="480" w:lineRule="exact"/>
        <w:rPr>
          <w:rFonts w:ascii="宋体" w:hAnsi="宋体" w:eastAsia="宋体" w:cs="宋体"/>
          <w:b/>
          <w:szCs w:val="24"/>
          <w:highlight w:val="none"/>
        </w:rPr>
      </w:pPr>
      <w:r>
        <w:rPr>
          <w:rFonts w:hint="eastAsia" w:ascii="宋体" w:hAnsi="宋体" w:eastAsia="宋体" w:cs="宋体"/>
          <w:b/>
          <w:szCs w:val="24"/>
          <w:highlight w:val="none"/>
        </w:rPr>
        <w:t>一、项目概况</w:t>
      </w:r>
    </w:p>
    <w:p w14:paraId="41CC85B3">
      <w:pPr>
        <w:spacing w:line="560" w:lineRule="exact"/>
        <w:ind w:firstLine="475" w:firstLineChars="198"/>
        <w:rPr>
          <w:rFonts w:ascii="宋体" w:hAnsi="宋体" w:eastAsia="宋体" w:cs="宋体"/>
          <w:color w:val="FF0000"/>
          <w:szCs w:val="24"/>
          <w:highlight w:val="none"/>
          <w:u w:val="single"/>
        </w:rPr>
      </w:pPr>
      <w:r>
        <w:rPr>
          <w:rFonts w:hint="eastAsia" w:ascii="宋体" w:hAnsi="宋体" w:eastAsia="宋体" w:cs="宋体"/>
          <w:szCs w:val="24"/>
          <w:highlight w:val="none"/>
        </w:rPr>
        <w:t>1. 项目名称：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31AC95E9">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2. 服务期限：</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p>
    <w:p w14:paraId="623C6692">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服务</w:t>
      </w:r>
      <w:r>
        <w:rPr>
          <w:rFonts w:hint="eastAsia" w:ascii="宋体" w:hAnsi="宋体" w:eastAsia="宋体" w:cs="宋体"/>
          <w:szCs w:val="24"/>
          <w:highlight w:val="none"/>
        </w:rPr>
        <w:t>地点：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3F75E7C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采购</w:t>
      </w:r>
      <w:r>
        <w:rPr>
          <w:rFonts w:hint="eastAsia" w:ascii="宋体" w:hAnsi="宋体" w:eastAsia="宋体" w:cs="宋体"/>
          <w:szCs w:val="24"/>
          <w:highlight w:val="none"/>
        </w:rPr>
        <w:t>内容：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067D2B83">
      <w:pPr>
        <w:spacing w:line="480" w:lineRule="exact"/>
        <w:rPr>
          <w:rFonts w:ascii="宋体" w:hAnsi="宋体" w:eastAsia="宋体" w:cs="宋体"/>
          <w:b/>
          <w:szCs w:val="24"/>
          <w:highlight w:val="none"/>
        </w:rPr>
      </w:pPr>
      <w:r>
        <w:rPr>
          <w:rFonts w:hint="eastAsia" w:ascii="宋体" w:hAnsi="宋体" w:eastAsia="宋体" w:cs="宋体"/>
          <w:b/>
          <w:szCs w:val="24"/>
          <w:highlight w:val="none"/>
        </w:rPr>
        <w:t>二、组成本合同的文件</w:t>
      </w:r>
    </w:p>
    <w:p w14:paraId="1DC5833C">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1. 协议书；</w:t>
      </w:r>
    </w:p>
    <w:p w14:paraId="21165C8E">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2. 成交通知书、磋商文件、磋商响应文件、澄清、磋商补充文件；</w:t>
      </w:r>
    </w:p>
    <w:p w14:paraId="42DE882F">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 相关服务建议书；</w:t>
      </w:r>
    </w:p>
    <w:p w14:paraId="7E64A196">
      <w:pPr>
        <w:spacing w:line="480" w:lineRule="exact"/>
        <w:rPr>
          <w:rFonts w:ascii="宋体" w:hAnsi="宋体" w:eastAsia="宋体" w:cs="宋体"/>
          <w:szCs w:val="24"/>
          <w:highlight w:val="none"/>
        </w:rPr>
      </w:pPr>
      <w:r>
        <w:rPr>
          <w:rFonts w:hint="eastAsia" w:ascii="宋体" w:hAnsi="宋体" w:eastAsia="宋体" w:cs="宋体"/>
          <w:szCs w:val="24"/>
          <w:highlight w:val="none"/>
        </w:rPr>
        <w:t xml:space="preserve">    4. 附录，即：附表内相关服务的范围和内容；</w:t>
      </w:r>
    </w:p>
    <w:p w14:paraId="4B840AE5">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本合同签订后，双方依法签订的补充协议也是本合同文件的组成部分。</w:t>
      </w:r>
    </w:p>
    <w:p w14:paraId="5EF658F8">
      <w:pPr>
        <w:spacing w:line="480" w:lineRule="exact"/>
        <w:rPr>
          <w:rFonts w:ascii="宋体" w:hAnsi="宋体" w:eastAsia="宋体" w:cs="宋体"/>
          <w:b/>
          <w:szCs w:val="24"/>
          <w:highlight w:val="none"/>
        </w:rPr>
      </w:pPr>
      <w:r>
        <w:rPr>
          <w:rFonts w:hint="eastAsia" w:ascii="宋体" w:hAnsi="宋体" w:eastAsia="宋体" w:cs="宋体"/>
          <w:b/>
          <w:szCs w:val="24"/>
          <w:highlight w:val="none"/>
        </w:rPr>
        <w:t>三、合同金额</w:t>
      </w:r>
    </w:p>
    <w:p w14:paraId="27EA5BE9">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合同价款形式：</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687693F0">
      <w:pPr>
        <w:spacing w:line="480" w:lineRule="exact"/>
        <w:ind w:firstLine="475" w:firstLineChars="198"/>
        <w:rPr>
          <w:rFonts w:hint="eastAsia" w:ascii="宋体" w:hAnsi="宋体" w:eastAsia="宋体" w:cs="宋体"/>
          <w:szCs w:val="24"/>
          <w:highlight w:val="none"/>
        </w:rPr>
      </w:pPr>
      <w:r>
        <w:rPr>
          <w:rFonts w:hint="eastAsia" w:ascii="宋体" w:hAnsi="宋体" w:eastAsia="宋体" w:cs="宋体"/>
          <w:szCs w:val="24"/>
          <w:highlight w:val="none"/>
        </w:rPr>
        <w:t>合同金额（大写）：</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p>
    <w:p w14:paraId="393649C3">
      <w:pPr>
        <w:spacing w:line="480" w:lineRule="exact"/>
        <w:ind w:firstLine="475" w:firstLineChars="198"/>
        <w:rPr>
          <w:rFonts w:hint="eastAsia" w:ascii="宋体" w:hAnsi="宋体" w:eastAsia="宋体" w:cs="宋体"/>
          <w:szCs w:val="24"/>
          <w:highlight w:val="none"/>
        </w:rPr>
      </w:pPr>
      <w:r>
        <w:rPr>
          <w:rFonts w:hint="eastAsia" w:ascii="宋体" w:hAnsi="宋体" w:eastAsia="宋体" w:cs="宋体"/>
          <w:szCs w:val="24"/>
          <w:highlight w:val="none"/>
        </w:rPr>
        <w:t>居家养老上门服务：按照成交清单报价结算，每户清单报价合计超过 3000</w:t>
      </w:r>
      <w:r>
        <w:rPr>
          <w:rFonts w:hint="eastAsia" w:ascii="宋体" w:hAnsi="宋体" w:eastAsia="宋体" w:cs="宋体"/>
          <w:szCs w:val="24"/>
          <w:highlight w:val="none"/>
          <w:lang w:val="en-US" w:eastAsia="zh-CN"/>
        </w:rPr>
        <w:t>.00</w:t>
      </w:r>
      <w:r>
        <w:rPr>
          <w:rFonts w:hint="eastAsia" w:ascii="宋体" w:hAnsi="宋体" w:eastAsia="宋体" w:cs="宋体"/>
          <w:szCs w:val="24"/>
          <w:highlight w:val="none"/>
        </w:rPr>
        <w:t>元，按照3000</w:t>
      </w:r>
      <w:r>
        <w:rPr>
          <w:rFonts w:hint="eastAsia" w:ascii="宋体" w:hAnsi="宋体" w:eastAsia="宋体" w:cs="宋体"/>
          <w:szCs w:val="24"/>
          <w:highlight w:val="none"/>
          <w:lang w:val="en-US" w:eastAsia="zh-CN"/>
        </w:rPr>
        <w:t>.00</w:t>
      </w:r>
      <w:r>
        <w:rPr>
          <w:rFonts w:hint="eastAsia" w:ascii="宋体" w:hAnsi="宋体" w:eastAsia="宋体" w:cs="宋体"/>
          <w:szCs w:val="24"/>
          <w:highlight w:val="none"/>
        </w:rPr>
        <w:t>元结算，不足3000</w:t>
      </w:r>
      <w:r>
        <w:rPr>
          <w:rFonts w:hint="eastAsia" w:ascii="宋体" w:hAnsi="宋体" w:eastAsia="宋体" w:cs="宋体"/>
          <w:szCs w:val="24"/>
          <w:highlight w:val="none"/>
          <w:lang w:val="en-US" w:eastAsia="zh-CN"/>
        </w:rPr>
        <w:t>.00</w:t>
      </w:r>
      <w:r>
        <w:rPr>
          <w:rFonts w:hint="eastAsia" w:ascii="宋体" w:hAnsi="宋体" w:eastAsia="宋体" w:cs="宋体"/>
          <w:szCs w:val="24"/>
          <w:highlight w:val="none"/>
        </w:rPr>
        <w:t>元，按照实际金额结算，结算总金额不超过成交总价。</w:t>
      </w:r>
    </w:p>
    <w:p w14:paraId="2B7EB316">
      <w:pPr>
        <w:spacing w:line="480" w:lineRule="exact"/>
        <w:rPr>
          <w:rFonts w:ascii="宋体" w:hAnsi="宋体" w:eastAsia="宋体" w:cs="宋体"/>
          <w:b/>
          <w:szCs w:val="24"/>
          <w:highlight w:val="none"/>
        </w:rPr>
      </w:pPr>
      <w:r>
        <w:rPr>
          <w:rFonts w:hint="eastAsia" w:ascii="宋体" w:hAnsi="宋体" w:eastAsia="宋体" w:cs="宋体"/>
          <w:b/>
          <w:szCs w:val="24"/>
          <w:highlight w:val="none"/>
        </w:rPr>
        <w:t>四、结算方式</w:t>
      </w:r>
    </w:p>
    <w:p w14:paraId="3AB0357E">
      <w:pPr>
        <w:spacing w:line="480" w:lineRule="exact"/>
        <w:rPr>
          <w:rFonts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rPr>
        <w:t>1.本项目结算方式：合同总价</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。在付款前，乙方必须开具等额增值税发票金额给甲方。</w:t>
      </w:r>
    </w:p>
    <w:p w14:paraId="4C100454">
      <w:pPr>
        <w:adjustRightInd w:val="0"/>
        <w:snapToGrid w:val="0"/>
        <w:spacing w:line="480" w:lineRule="exact"/>
        <w:ind w:firstLine="480" w:firstLineChars="200"/>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szCs w:val="24"/>
          <w:highlight w:val="none"/>
        </w:rPr>
        <w:t>2.付款方式：</w:t>
      </w:r>
      <w:r>
        <w:rPr>
          <w:rFonts w:hint="eastAsia" w:ascii="宋体" w:hAnsi="宋体" w:eastAsia="宋体" w:cs="宋体"/>
          <w:szCs w:val="24"/>
          <w:highlight w:val="none"/>
          <w:lang w:val="en-US" w:eastAsia="zh-CN"/>
        </w:rPr>
        <w:t>项目结束后,经对项目抽查满意度达合格后支付全部合同价款。</w:t>
      </w:r>
    </w:p>
    <w:p w14:paraId="1C3E0CF7">
      <w:pPr>
        <w:spacing w:line="480" w:lineRule="exact"/>
        <w:rPr>
          <w:rFonts w:ascii="宋体" w:hAnsi="宋体" w:eastAsia="宋体" w:cs="宋体"/>
          <w:b/>
          <w:szCs w:val="24"/>
          <w:highlight w:val="none"/>
        </w:rPr>
      </w:pPr>
      <w:r>
        <w:rPr>
          <w:rFonts w:hint="eastAsia" w:ascii="宋体" w:hAnsi="宋体" w:eastAsia="宋体" w:cs="宋体"/>
          <w:b/>
          <w:szCs w:val="24"/>
          <w:highlight w:val="none"/>
        </w:rPr>
        <w:t>五、双方权利和义务</w:t>
      </w:r>
    </w:p>
    <w:p w14:paraId="1442DAED">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1.甲方的主要责任和权力</w:t>
      </w:r>
    </w:p>
    <w:p w14:paraId="5FC3801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（1）甲方负责提供所需的相关基础资料及配合其他相关工作；</w:t>
      </w:r>
    </w:p>
    <w:p w14:paraId="5BF8AD3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（2）甲方应根据本合同规定，按期足额将项目经费拨付给乙方；</w:t>
      </w:r>
    </w:p>
    <w:p w14:paraId="620601F8">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（3）甲方有权审查乙方的工作内容及进度，有权向乙方表达对项目内容的意见和建议，乙方应予以充分考虑；</w:t>
      </w:r>
    </w:p>
    <w:p w14:paraId="641E2A13">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（4）甲方有权对项目提出成果要求，督促乙方按计划完成项目并提交符合验收标准的成果。</w:t>
      </w:r>
    </w:p>
    <w:p w14:paraId="201CE487">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2.乙方的主要责任和权力</w:t>
      </w:r>
    </w:p>
    <w:p w14:paraId="1DEC241F">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（1）乙方应保质保量按期完成任务。</w:t>
      </w:r>
    </w:p>
    <w:p w14:paraId="311B7B55">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（2）乙方提交的项目成果经验收必须达到相关规范标准。</w:t>
      </w:r>
    </w:p>
    <w:p w14:paraId="33EB1636">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（3）乙方应正确使用项目经费，对甲方拨付的项目经费实行专款专用。</w:t>
      </w:r>
    </w:p>
    <w:p w14:paraId="17B31F64">
      <w:pPr>
        <w:tabs>
          <w:tab w:val="left" w:pos="840"/>
        </w:tabs>
        <w:spacing w:line="480" w:lineRule="exact"/>
        <w:ind w:firstLine="480" w:firstLineChars="200"/>
        <w:rPr>
          <w:rFonts w:ascii="宋体" w:hAnsi="宋体" w:eastAsia="宋体" w:cs="宋体"/>
          <w:b/>
          <w:szCs w:val="24"/>
          <w:highlight w:val="none"/>
        </w:rPr>
      </w:pPr>
      <w:r>
        <w:rPr>
          <w:rFonts w:hint="eastAsia" w:ascii="宋体" w:hAnsi="宋体" w:eastAsia="宋体" w:cs="宋体"/>
          <w:szCs w:val="24"/>
          <w:highlight w:val="none"/>
        </w:rPr>
        <w:t>（4）乙方应依照合同约定移交所有项目成果。</w:t>
      </w:r>
    </w:p>
    <w:p w14:paraId="56547D70">
      <w:pPr>
        <w:spacing w:line="560" w:lineRule="exact"/>
        <w:rPr>
          <w:rFonts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六、</w:t>
      </w:r>
      <w:r>
        <w:rPr>
          <w:rFonts w:hint="eastAsia" w:ascii="宋体" w:hAnsi="宋体" w:eastAsia="宋体" w:cs="宋体"/>
          <w:b/>
          <w:bCs/>
          <w:color w:val="000000" w:themeColor="text1"/>
          <w:szCs w:val="24"/>
          <w:highlight w:val="none"/>
          <w:lang w:val="zh-CN"/>
          <w14:textFill>
            <w14:solidFill>
              <w14:schemeClr w14:val="tx1"/>
            </w14:solidFill>
          </w14:textFill>
        </w:rPr>
        <w:t>履约保证金</w:t>
      </w:r>
    </w:p>
    <w:p w14:paraId="0F716F4D">
      <w:pPr>
        <w:spacing w:line="560" w:lineRule="exact"/>
        <w:ind w:firstLine="480" w:firstLineChars="200"/>
        <w:rPr>
          <w:rFonts w:ascii="宋体" w:hAnsi="宋体" w:eastAsia="宋体" w:cs="宋体"/>
          <w:b/>
          <w:szCs w:val="24"/>
          <w:highlight w:val="none"/>
        </w:rPr>
      </w:pPr>
      <w:r>
        <w:rPr>
          <w:rFonts w:hint="eastAsia" w:ascii="宋体" w:hAnsi="宋体" w:eastAsia="宋体" w:cs="宋体"/>
          <w:bCs/>
          <w:szCs w:val="24"/>
          <w:highlight w:val="none"/>
        </w:rPr>
        <w:t>具体以甲方双方在签订合同时协商为准，最高不得超过法律法规标准要求。</w:t>
      </w:r>
    </w:p>
    <w:p w14:paraId="3AB4319F">
      <w:pPr>
        <w:spacing w:line="560" w:lineRule="exact"/>
        <w:rPr>
          <w:rFonts w:ascii="宋体" w:hAnsi="宋体" w:eastAsia="宋体" w:cs="宋体"/>
          <w:b/>
          <w:szCs w:val="24"/>
          <w:highlight w:val="none"/>
        </w:rPr>
      </w:pPr>
      <w:r>
        <w:rPr>
          <w:rFonts w:hint="eastAsia" w:ascii="宋体" w:hAnsi="宋体" w:eastAsia="宋体" w:cs="宋体"/>
          <w:b/>
          <w:szCs w:val="24"/>
          <w:highlight w:val="none"/>
        </w:rPr>
        <w:t>七、合同争议的解决</w:t>
      </w:r>
    </w:p>
    <w:p w14:paraId="55B7A70E">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合同执行中发生争议的，当事人双方应协商解决。协商达不成一致时，可提交</w:t>
      </w:r>
      <w:r>
        <w:rPr>
          <w:rFonts w:hint="eastAsia" w:ascii="宋体" w:hAnsi="宋体" w:eastAsia="宋体" w:cs="宋体"/>
          <w:szCs w:val="24"/>
          <w:highlight w:val="none"/>
          <w:lang w:val="en-US" w:eastAsia="zh-CN"/>
        </w:rPr>
        <w:t>宝鸡市</w:t>
      </w:r>
      <w:r>
        <w:rPr>
          <w:rFonts w:hint="eastAsia" w:ascii="宋体" w:hAnsi="宋体" w:eastAsia="宋体" w:cs="宋体"/>
          <w:szCs w:val="24"/>
          <w:highlight w:val="none"/>
        </w:rPr>
        <w:t>仲裁委员会进行仲裁或者向人民法院提请诉讼。</w:t>
      </w:r>
    </w:p>
    <w:p w14:paraId="160E00E1">
      <w:pPr>
        <w:spacing w:line="560" w:lineRule="exact"/>
        <w:rPr>
          <w:rFonts w:ascii="宋体" w:hAnsi="宋体" w:eastAsia="宋体" w:cs="宋体"/>
          <w:b/>
          <w:szCs w:val="24"/>
          <w:highlight w:val="none"/>
        </w:rPr>
      </w:pPr>
      <w:r>
        <w:rPr>
          <w:rFonts w:hint="eastAsia" w:ascii="宋体" w:hAnsi="宋体" w:eastAsia="宋体" w:cs="宋体"/>
          <w:b/>
          <w:szCs w:val="24"/>
          <w:highlight w:val="none"/>
        </w:rPr>
        <w:t>八、协议的生效、变更与解除</w:t>
      </w:r>
    </w:p>
    <w:p w14:paraId="53550ED4">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1.本合同自双方签字盖章之日起生效。</w:t>
      </w:r>
    </w:p>
    <w:p w14:paraId="477464A9">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2.合同双方任何一方提出变更合同或解除合同的要求时，应与另一方协商，获取另一方同意后，签订变更条款或协议，作为本合同的正式附件，方可执行。</w:t>
      </w:r>
    </w:p>
    <w:p w14:paraId="4B7AB890">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3.一方因对方违反合同或由于不可抗力因素，致使合同履行成为不可能或不必要，有权通知另一方解除合同。</w:t>
      </w:r>
    </w:p>
    <w:p w14:paraId="70C17C8C">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4.合同双方任何一方逾期两个月不履行合同规定的义务，对方有权解除合同，并索取赔偿。</w:t>
      </w:r>
    </w:p>
    <w:p w14:paraId="733B6676">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5.变更或解除合同造成的损失由双方协商或按责任原则分别承担。</w:t>
      </w:r>
    </w:p>
    <w:p w14:paraId="552F4917">
      <w:pPr>
        <w:spacing w:line="560" w:lineRule="exact"/>
        <w:rPr>
          <w:rFonts w:ascii="宋体" w:hAnsi="宋体" w:eastAsia="宋体" w:cs="宋体"/>
          <w:b/>
          <w:szCs w:val="24"/>
          <w:highlight w:val="none"/>
        </w:rPr>
      </w:pPr>
      <w:r>
        <w:rPr>
          <w:rFonts w:hint="eastAsia" w:ascii="宋体" w:hAnsi="宋体" w:eastAsia="宋体" w:cs="宋体"/>
          <w:b/>
          <w:szCs w:val="24"/>
          <w:highlight w:val="none"/>
        </w:rPr>
        <w:t>九、不可抗力情况下的免责约定</w:t>
      </w:r>
    </w:p>
    <w:p w14:paraId="7D166C72">
      <w:pPr>
        <w:spacing w:line="560" w:lineRule="exact"/>
        <w:rPr>
          <w:rFonts w:ascii="宋体" w:hAnsi="宋体" w:eastAsia="宋体" w:cs="宋体"/>
          <w:szCs w:val="24"/>
          <w:highlight w:val="none"/>
        </w:rPr>
      </w:pPr>
      <w:r>
        <w:rPr>
          <w:rFonts w:hint="eastAsia" w:ascii="宋体" w:hAnsi="宋体" w:eastAsia="宋体" w:cs="宋体"/>
          <w:szCs w:val="24"/>
          <w:highlight w:val="none"/>
        </w:rPr>
        <w:t xml:space="preserve">    双方约定不可抗力情况指：双方不可预见、不可避免、不可克服的客观情况，但不包括双方的违约或疏忽。这些事件包括但不限于：战争、严重火灾、洪水、台风、地震等。</w:t>
      </w:r>
    </w:p>
    <w:p w14:paraId="7618CCEC">
      <w:pPr>
        <w:spacing w:line="560" w:lineRule="exact"/>
        <w:rPr>
          <w:rFonts w:ascii="宋体" w:hAnsi="宋体" w:eastAsia="宋体" w:cs="宋体"/>
          <w:b/>
          <w:szCs w:val="24"/>
          <w:highlight w:val="none"/>
        </w:rPr>
      </w:pPr>
      <w:r>
        <w:rPr>
          <w:rFonts w:hint="eastAsia" w:ascii="宋体" w:hAnsi="宋体" w:eastAsia="宋体" w:cs="宋体"/>
          <w:b/>
          <w:szCs w:val="24"/>
          <w:highlight w:val="none"/>
        </w:rPr>
        <w:t>十、违约责任</w:t>
      </w:r>
    </w:p>
    <w:p w14:paraId="1050B49C">
      <w:pPr>
        <w:spacing w:line="560" w:lineRule="exact"/>
        <w:rPr>
          <w:rFonts w:ascii="宋体" w:hAnsi="宋体" w:eastAsia="宋体" w:cs="宋体"/>
          <w:szCs w:val="24"/>
          <w:highlight w:val="none"/>
        </w:rPr>
      </w:pPr>
      <w:r>
        <w:rPr>
          <w:rFonts w:hint="eastAsia" w:ascii="宋体" w:hAnsi="宋体" w:eastAsia="宋体" w:cs="宋体"/>
          <w:szCs w:val="24"/>
          <w:highlight w:val="none"/>
        </w:rPr>
        <w:t xml:space="preserve">    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67C97707">
      <w:pPr>
        <w:spacing w:line="560" w:lineRule="exact"/>
        <w:rPr>
          <w:rFonts w:ascii="宋体" w:hAnsi="宋体" w:eastAsia="宋体" w:cs="宋体"/>
          <w:szCs w:val="24"/>
          <w:highlight w:val="none"/>
          <w:u w:val="single"/>
        </w:rPr>
      </w:pPr>
      <w:r>
        <w:rPr>
          <w:rFonts w:hint="eastAsia" w:ascii="宋体" w:hAnsi="宋体" w:eastAsia="宋体" w:cs="宋体"/>
          <w:b/>
          <w:szCs w:val="24"/>
          <w:highlight w:val="none"/>
        </w:rPr>
        <w:t>十一、其他（</w:t>
      </w:r>
      <w:r>
        <w:rPr>
          <w:rFonts w:hint="eastAsia" w:ascii="宋体" w:hAnsi="宋体" w:eastAsia="宋体" w:cs="宋体"/>
          <w:szCs w:val="24"/>
          <w:highlight w:val="none"/>
        </w:rPr>
        <w:t>在合同中具体明确）</w:t>
      </w:r>
      <w:r>
        <w:rPr>
          <w:rFonts w:hint="eastAsia" w:ascii="宋体" w:hAnsi="宋体" w:eastAsia="宋体" w:cs="宋体"/>
          <w:szCs w:val="24"/>
          <w:highlight w:val="none"/>
          <w:u w:val="single"/>
        </w:rPr>
        <w:t xml:space="preserve">                                                                                 </w:t>
      </w:r>
    </w:p>
    <w:p w14:paraId="4024E2E0">
      <w:pPr>
        <w:spacing w:line="560" w:lineRule="exact"/>
        <w:rPr>
          <w:rFonts w:ascii="宋体" w:hAnsi="宋体" w:eastAsia="宋体" w:cs="宋体"/>
          <w:b/>
          <w:szCs w:val="24"/>
          <w:highlight w:val="none"/>
        </w:rPr>
      </w:pPr>
      <w:r>
        <w:rPr>
          <w:rFonts w:hint="eastAsia" w:ascii="宋体" w:hAnsi="宋体" w:eastAsia="宋体" w:cs="宋体"/>
          <w:b/>
          <w:szCs w:val="24"/>
          <w:highlight w:val="none"/>
        </w:rPr>
        <w:t>十二、合同订立</w:t>
      </w:r>
    </w:p>
    <w:p w14:paraId="74CD4F86">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1. 订立时间：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260CEE8">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2. 订立地点：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52680BE9">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本合同协议书一式陆份，双方各持叁份，具有同等法律效力；合同协议书经双方代表签字先复印后加盖单位章后即产生法律效力，服务费用结清后失效。双方要恪守信誉，严格履行。</w:t>
      </w:r>
    </w:p>
    <w:p w14:paraId="1E511D94">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本合同协议书未尽事宜由双方协商解决。</w:t>
      </w:r>
    </w:p>
    <w:p w14:paraId="3B5ED9B2">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采购人：</w:t>
      </w:r>
      <w:r>
        <w:rPr>
          <w:rFonts w:hint="eastAsia" w:ascii="宋体" w:hAnsi="宋体" w:eastAsia="宋体" w:cs="宋体"/>
          <w:szCs w:val="24"/>
          <w:highlight w:val="none"/>
          <w:u w:val="single"/>
        </w:rPr>
        <w:t xml:space="preserve">   （盖章）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供应商：</w:t>
      </w:r>
      <w:r>
        <w:rPr>
          <w:rFonts w:hint="eastAsia" w:ascii="宋体" w:hAnsi="宋体" w:eastAsia="宋体" w:cs="宋体"/>
          <w:szCs w:val="24"/>
          <w:highlight w:val="none"/>
          <w:u w:val="single"/>
        </w:rPr>
        <w:t xml:space="preserve">   （盖章）         </w:t>
      </w:r>
    </w:p>
    <w:p w14:paraId="453C3C24">
      <w:pPr>
        <w:spacing w:line="560" w:lineRule="exact"/>
        <w:ind w:firstLine="475" w:firstLineChars="198"/>
        <w:rPr>
          <w:rFonts w:ascii="宋体" w:hAnsi="宋体" w:eastAsia="宋体" w:cs="宋体"/>
          <w:szCs w:val="24"/>
          <w:highlight w:val="none"/>
          <w:u w:val="single"/>
        </w:rPr>
      </w:pPr>
      <w:r>
        <w:rPr>
          <w:rFonts w:hint="eastAsia" w:ascii="宋体" w:hAnsi="宋体" w:eastAsia="宋体" w:cs="宋体"/>
          <w:szCs w:val="24"/>
          <w:highlight w:val="none"/>
        </w:rPr>
        <w:t xml:space="preserve">地 址：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地  址：</w:t>
      </w:r>
      <w:r>
        <w:rPr>
          <w:rFonts w:hint="eastAsia" w:ascii="宋体" w:hAnsi="宋体" w:eastAsia="宋体" w:cs="宋体"/>
          <w:szCs w:val="24"/>
          <w:highlight w:val="none"/>
          <w:u w:val="single"/>
        </w:rPr>
        <w:t xml:space="preserve">                    </w:t>
      </w:r>
    </w:p>
    <w:p w14:paraId="3C7B680B">
      <w:pPr>
        <w:spacing w:line="56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邮政编码：</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邮政编码：</w:t>
      </w:r>
      <w:r>
        <w:rPr>
          <w:rFonts w:hint="eastAsia" w:ascii="宋体" w:hAnsi="宋体" w:eastAsia="宋体" w:cs="宋体"/>
          <w:szCs w:val="24"/>
          <w:highlight w:val="none"/>
          <w:u w:val="single"/>
        </w:rPr>
        <w:t xml:space="preserve">                  </w:t>
      </w:r>
    </w:p>
    <w:p w14:paraId="248DCE96">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 xml:space="preserve">法定代表人或其授权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法定代表人或其授权</w:t>
      </w:r>
    </w:p>
    <w:p w14:paraId="16E664D2">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的代理人：</w:t>
      </w:r>
      <w:r>
        <w:rPr>
          <w:rFonts w:hint="eastAsia" w:ascii="宋体" w:hAnsi="宋体" w:eastAsia="宋体" w:cs="宋体"/>
          <w:szCs w:val="24"/>
          <w:highlight w:val="none"/>
          <w:u w:val="single"/>
        </w:rPr>
        <w:t xml:space="preserve">（签字）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的代理人：</w:t>
      </w:r>
      <w:r>
        <w:rPr>
          <w:rFonts w:hint="eastAsia" w:ascii="宋体" w:hAnsi="宋体" w:eastAsia="宋体" w:cs="宋体"/>
          <w:szCs w:val="24"/>
          <w:highlight w:val="none"/>
          <w:u w:val="single"/>
        </w:rPr>
        <w:t xml:space="preserve">（签字）           </w:t>
      </w:r>
    </w:p>
    <w:p w14:paraId="7B091A1B">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开户银行：</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开户银行：</w:t>
      </w:r>
      <w:r>
        <w:rPr>
          <w:rFonts w:hint="eastAsia" w:ascii="宋体" w:hAnsi="宋体" w:eastAsia="宋体" w:cs="宋体"/>
          <w:szCs w:val="24"/>
          <w:highlight w:val="none"/>
          <w:u w:val="single"/>
        </w:rPr>
        <w:t xml:space="preserve">                  </w:t>
      </w:r>
    </w:p>
    <w:p w14:paraId="303FCA2F">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账号：</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账号：</w:t>
      </w:r>
      <w:r>
        <w:rPr>
          <w:rFonts w:hint="eastAsia" w:ascii="宋体" w:hAnsi="宋体" w:eastAsia="宋体" w:cs="宋体"/>
          <w:szCs w:val="24"/>
          <w:highlight w:val="none"/>
          <w:u w:val="single"/>
        </w:rPr>
        <w:t xml:space="preserve">                      </w:t>
      </w:r>
    </w:p>
    <w:p w14:paraId="34561586">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电话：</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电话：</w:t>
      </w:r>
      <w:r>
        <w:rPr>
          <w:rFonts w:hint="eastAsia" w:ascii="宋体" w:hAnsi="宋体" w:eastAsia="宋体" w:cs="宋体"/>
          <w:szCs w:val="24"/>
          <w:highlight w:val="none"/>
          <w:u w:val="single"/>
        </w:rPr>
        <w:t xml:space="preserve">                      </w:t>
      </w:r>
    </w:p>
    <w:p w14:paraId="66652191">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传真：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传真：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p>
    <w:p w14:paraId="733BB6EE">
      <w:pPr>
        <w:spacing w:line="560" w:lineRule="exact"/>
        <w:ind w:firstLine="475" w:firstLineChars="198"/>
        <w:rPr>
          <w:rFonts w:ascii="宋体" w:hAnsi="宋体" w:eastAsia="宋体" w:cs="宋体"/>
          <w:szCs w:val="24"/>
          <w:highlight w:val="none"/>
          <w:u w:val="single"/>
        </w:rPr>
      </w:pPr>
      <w:r>
        <w:rPr>
          <w:rFonts w:hint="eastAsia" w:ascii="宋体" w:hAnsi="宋体" w:eastAsia="宋体" w:cs="宋体"/>
          <w:szCs w:val="24"/>
          <w:highlight w:val="none"/>
        </w:rPr>
        <w:t>电子邮箱：</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电子邮箱：</w:t>
      </w:r>
      <w:r>
        <w:rPr>
          <w:rFonts w:hint="eastAsia" w:ascii="宋体" w:hAnsi="宋体" w:eastAsia="宋体" w:cs="宋体"/>
          <w:szCs w:val="24"/>
          <w:highlight w:val="none"/>
          <w:u w:val="single"/>
        </w:rPr>
        <w:t xml:space="preserve">                   </w:t>
      </w:r>
    </w:p>
    <w:p w14:paraId="3EC28CC0">
      <w:pPr>
        <w:spacing w:line="560" w:lineRule="exact"/>
        <w:jc w:val="center"/>
        <w:rPr>
          <w:rFonts w:ascii="宋体" w:hAnsi="宋体" w:eastAsia="宋体" w:cs="宋体"/>
          <w:szCs w:val="24"/>
          <w:highlight w:val="none"/>
        </w:rPr>
      </w:pPr>
    </w:p>
    <w:p w14:paraId="11184C36">
      <w:pPr>
        <w:spacing w:line="56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（注：以采购人及供应商最终签署合同为准。）</w:t>
      </w:r>
    </w:p>
    <w:p w14:paraId="364E4EC5">
      <w:pPr>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b/>
          <w:bCs/>
          <w:color w:val="000000" w:themeColor="text1"/>
          <w:kern w:val="0"/>
          <w:sz w:val="36"/>
          <w:szCs w:val="36"/>
          <w:highlight w:val="none"/>
          <w14:textFill>
            <w14:solidFill>
              <w14:schemeClr w14:val="tx1"/>
            </w14:solidFill>
          </w14:textFill>
        </w:rPr>
        <w:br w:type="page"/>
      </w:r>
    </w:p>
    <w:p w14:paraId="02244EAB">
      <w:pPr>
        <w:spacing w:line="360" w:lineRule="auto"/>
        <w:jc w:val="center"/>
        <w:outlineLvl w:val="0"/>
        <w:rPr>
          <w:rFonts w:ascii="宋体" w:hAnsi="宋体" w:eastAsia="宋体" w:cs="宋体"/>
          <w:color w:val="000000" w:themeColor="text1"/>
          <w:kern w:val="0"/>
          <w:sz w:val="36"/>
          <w:szCs w:val="36"/>
          <w:highlight w:val="none"/>
          <w14:textFill>
            <w14:solidFill>
              <w14:schemeClr w14:val="tx1"/>
            </w14:solidFill>
          </w14:textFill>
        </w:rPr>
      </w:pPr>
      <w:bookmarkStart w:id="69" w:name="_Toc27469"/>
      <w:r>
        <w:rPr>
          <w:rFonts w:hint="eastAsia" w:ascii="宋体" w:hAnsi="宋体" w:eastAsia="宋体" w:cs="宋体"/>
          <w:b/>
          <w:bCs/>
          <w:color w:val="000000" w:themeColor="text1"/>
          <w:kern w:val="0"/>
          <w:sz w:val="36"/>
          <w:szCs w:val="36"/>
          <w:highlight w:val="none"/>
          <w14:textFill>
            <w14:solidFill>
              <w14:schemeClr w14:val="tx1"/>
            </w14:solidFill>
          </w14:textFill>
        </w:rPr>
        <w:t xml:space="preserve">第五章 </w:t>
      </w:r>
      <w:bookmarkStart w:id="70" w:name="_Toc9837"/>
      <w:bookmarkStart w:id="71" w:name="_Toc25636"/>
      <w:r>
        <w:rPr>
          <w:rFonts w:hint="eastAsia" w:ascii="宋体" w:hAnsi="宋体" w:eastAsia="宋体" w:cs="宋体"/>
          <w:b/>
          <w:bCs/>
          <w:color w:val="000000" w:themeColor="text1"/>
          <w:kern w:val="0"/>
          <w:sz w:val="36"/>
          <w:szCs w:val="36"/>
          <w:highlight w:val="none"/>
          <w14:textFill>
            <w14:solidFill>
              <w14:schemeClr w14:val="tx1"/>
            </w14:solidFill>
          </w14:textFill>
        </w:rPr>
        <w:t>响应文件格式</w:t>
      </w:r>
      <w:bookmarkEnd w:id="64"/>
      <w:bookmarkEnd w:id="65"/>
      <w:bookmarkEnd w:id="66"/>
      <w:bookmarkEnd w:id="67"/>
      <w:bookmarkEnd w:id="68"/>
      <w:bookmarkEnd w:id="69"/>
      <w:bookmarkEnd w:id="70"/>
      <w:bookmarkEnd w:id="71"/>
    </w:p>
    <w:p w14:paraId="7E34E490">
      <w:pPr>
        <w:rPr>
          <w:rFonts w:ascii="宋体" w:hAnsi="宋体" w:eastAsia="宋体" w:cs="宋体"/>
          <w:b/>
          <w:bCs/>
          <w:sz w:val="28"/>
          <w:szCs w:val="24"/>
          <w:highlight w:val="none"/>
        </w:rPr>
      </w:pPr>
      <w:r>
        <w:rPr>
          <w:rFonts w:hint="eastAsia" w:ascii="宋体" w:hAnsi="宋体" w:eastAsia="宋体" w:cs="宋体"/>
          <w:b/>
          <w:bCs/>
          <w:sz w:val="28"/>
          <w:szCs w:val="24"/>
          <w:highlight w:val="none"/>
        </w:rPr>
        <w:t>一、封面</w:t>
      </w:r>
    </w:p>
    <w:p w14:paraId="3900D89B">
      <w:pPr>
        <w:spacing w:line="360" w:lineRule="auto"/>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 xml:space="preserve">  </w:t>
      </w:r>
    </w:p>
    <w:p w14:paraId="2E7002AB">
      <w:pPr>
        <w:spacing w:line="360" w:lineRule="auto"/>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 xml:space="preserve">                                 </w:t>
      </w:r>
      <w:r>
        <w:rPr>
          <w:rFonts w:hint="eastAsia" w:ascii="宋体" w:hAnsi="宋体" w:eastAsia="宋体" w:cs="宋体"/>
          <w:b/>
          <w:color w:val="000000" w:themeColor="text1"/>
          <w:sz w:val="36"/>
          <w:szCs w:val="36"/>
          <w:highlight w:val="none"/>
          <w:bdr w:val="single" w:color="auto" w:sz="4" w:space="0"/>
          <w:shd w:val="pct10" w:color="auto" w:fill="FFFFFF"/>
          <w14:textFill>
            <w14:solidFill>
              <w14:schemeClr w14:val="tx1"/>
            </w14:solidFill>
          </w14:textFill>
        </w:rPr>
        <w:t>政府采购项目</w:t>
      </w:r>
    </w:p>
    <w:p w14:paraId="122D85E3">
      <w:pPr>
        <w:widowControl/>
        <w:spacing w:line="180" w:lineRule="atLeast"/>
        <w:rPr>
          <w:rFonts w:hint="default" w:ascii="宋体" w:hAnsi="宋体" w:eastAsia="宋体" w:cs="宋体"/>
          <w:b/>
          <w:kern w:val="0"/>
          <w:sz w:val="32"/>
          <w:szCs w:val="28"/>
          <w:highlight w:val="none"/>
          <w:lang w:val="en-US" w:eastAsia="zh-CN"/>
        </w:rPr>
      </w:pPr>
      <w:r>
        <w:rPr>
          <w:rFonts w:hint="eastAsia" w:ascii="宋体" w:hAnsi="宋体" w:eastAsia="宋体" w:cs="宋体"/>
          <w:b/>
          <w:kern w:val="0"/>
          <w:sz w:val="32"/>
          <w:szCs w:val="28"/>
          <w:highlight w:val="none"/>
        </w:rPr>
        <w:t>项目编号：</w:t>
      </w:r>
      <w:r>
        <w:rPr>
          <w:rFonts w:hint="eastAsia" w:ascii="宋体" w:hAnsi="宋体" w:eastAsia="宋体" w:cs="宋体"/>
          <w:b/>
          <w:kern w:val="0"/>
          <w:sz w:val="32"/>
          <w:szCs w:val="28"/>
          <w:highlight w:val="none"/>
          <w:lang w:eastAsia="zh-CN"/>
        </w:rPr>
        <w:t>HDZX2025（027）CG</w:t>
      </w:r>
      <w:r>
        <w:rPr>
          <w:rFonts w:hint="eastAsia" w:ascii="宋体" w:hAnsi="宋体" w:eastAsia="宋体" w:cs="宋体"/>
          <w:b/>
          <w:kern w:val="0"/>
          <w:sz w:val="32"/>
          <w:szCs w:val="28"/>
          <w:highlight w:val="none"/>
          <w:lang w:val="en-US" w:eastAsia="zh-CN"/>
        </w:rPr>
        <w:t>-1</w:t>
      </w:r>
    </w:p>
    <w:p w14:paraId="6A2C550A">
      <w:pPr>
        <w:numPr>
          <w:ilvl w:val="3"/>
          <w:numId w:val="0"/>
        </w:numPr>
        <w:rPr>
          <w:rFonts w:ascii="宋体" w:hAnsi="宋体" w:eastAsia="宋体" w:cs="宋体"/>
          <w:highlight w:val="none"/>
        </w:rPr>
      </w:pPr>
    </w:p>
    <w:p w14:paraId="25AA5D66">
      <w:pPr>
        <w:rPr>
          <w:rFonts w:ascii="宋体" w:hAnsi="宋体" w:eastAsia="宋体" w:cs="宋体"/>
          <w:highlight w:val="none"/>
        </w:rPr>
      </w:pPr>
    </w:p>
    <w:p w14:paraId="46121E8F">
      <w:pPr>
        <w:rPr>
          <w:rFonts w:ascii="宋体" w:hAnsi="宋体" w:eastAsia="宋体" w:cs="宋体"/>
          <w:sz w:val="22"/>
          <w:szCs w:val="21"/>
          <w:highlight w:val="none"/>
        </w:rPr>
      </w:pPr>
    </w:p>
    <w:p w14:paraId="0B75A0E0">
      <w:pPr>
        <w:pStyle w:val="36"/>
        <w:ind w:firstLine="640"/>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sz w:val="36"/>
          <w:szCs w:val="36"/>
          <w:highlight w:val="none"/>
          <w:lang w:eastAsia="zh-CN"/>
        </w:rPr>
        <w:t>居家和社区基本养老服务提升行动项目Ⅰ标段</w:t>
      </w:r>
    </w:p>
    <w:p w14:paraId="696800A0">
      <w:pPr>
        <w:pStyle w:val="36"/>
        <w:ind w:firstLine="640"/>
        <w:jc w:val="center"/>
        <w:rPr>
          <w:rFonts w:ascii="宋体" w:hAnsi="宋体" w:eastAsia="宋体" w:cs="宋体"/>
          <w:color w:val="000000" w:themeColor="text1"/>
          <w:highlight w:val="none"/>
          <w14:textFill>
            <w14:solidFill>
              <w14:schemeClr w14:val="tx1"/>
            </w14:solidFill>
          </w14:textFill>
        </w:rPr>
      </w:pPr>
    </w:p>
    <w:p w14:paraId="2DA3AB05">
      <w:pPr>
        <w:pStyle w:val="36"/>
        <w:ind w:firstLine="640"/>
        <w:jc w:val="center"/>
        <w:rPr>
          <w:rFonts w:ascii="宋体" w:hAnsi="宋体" w:eastAsia="宋体" w:cs="宋体"/>
          <w:color w:val="000000" w:themeColor="text1"/>
          <w:highlight w:val="none"/>
          <w14:textFill>
            <w14:solidFill>
              <w14:schemeClr w14:val="tx1"/>
            </w14:solidFill>
          </w14:textFill>
        </w:rPr>
      </w:pPr>
    </w:p>
    <w:p w14:paraId="53671D9F">
      <w:pPr>
        <w:spacing w:before="120" w:beforeLines="50" w:line="360" w:lineRule="auto"/>
        <w:ind w:right="-998" w:rightChars="-416"/>
        <w:jc w:val="center"/>
        <w:rPr>
          <w:rFonts w:ascii="宋体" w:hAnsi="宋体" w:eastAsia="宋体" w:cs="宋体"/>
          <w:b/>
          <w:bCs/>
          <w:color w:val="000000" w:themeColor="text1"/>
          <w:spacing w:val="20"/>
          <w:kern w:val="0"/>
          <w:sz w:val="48"/>
          <w:szCs w:val="48"/>
          <w:highlight w:val="none"/>
          <w14:textFill>
            <w14:solidFill>
              <w14:schemeClr w14:val="tx1"/>
            </w14:solidFill>
          </w14:textFill>
        </w:rPr>
      </w:pPr>
      <w:r>
        <w:rPr>
          <w:rFonts w:hint="eastAsia" w:ascii="宋体" w:hAnsi="宋体" w:eastAsia="宋体" w:cs="宋体"/>
          <w:b/>
          <w:bCs/>
          <w:color w:val="000000" w:themeColor="text1"/>
          <w:spacing w:val="20"/>
          <w:kern w:val="0"/>
          <w:sz w:val="48"/>
          <w:szCs w:val="48"/>
          <w:highlight w:val="none"/>
          <w14:textFill>
            <w14:solidFill>
              <w14:schemeClr w14:val="tx1"/>
            </w14:solidFill>
          </w14:textFill>
        </w:rPr>
        <w:t>竞争性磋商响应文件</w:t>
      </w:r>
    </w:p>
    <w:p w14:paraId="5FC7DD5D">
      <w:pPr>
        <w:pStyle w:val="36"/>
        <w:ind w:firstLine="640"/>
        <w:rPr>
          <w:rFonts w:ascii="宋体" w:hAnsi="宋体" w:eastAsia="宋体" w:cs="宋体"/>
          <w:color w:val="000000" w:themeColor="text1"/>
          <w:highlight w:val="none"/>
          <w14:textFill>
            <w14:solidFill>
              <w14:schemeClr w14:val="tx1"/>
            </w14:solidFill>
          </w14:textFill>
        </w:rPr>
      </w:pPr>
    </w:p>
    <w:p w14:paraId="073649C9">
      <w:pPr>
        <w:spacing w:line="480" w:lineRule="auto"/>
        <w:ind w:firstLine="1188" w:firstLineChars="400"/>
        <w:rPr>
          <w:rFonts w:ascii="宋体" w:hAnsi="宋体" w:eastAsia="宋体" w:cs="宋体"/>
          <w:b/>
          <w:color w:val="000000" w:themeColor="text1"/>
          <w:spacing w:val="8"/>
          <w:sz w:val="28"/>
          <w:szCs w:val="28"/>
          <w:highlight w:val="none"/>
          <w14:textFill>
            <w14:solidFill>
              <w14:schemeClr w14:val="tx1"/>
            </w14:solidFill>
          </w14:textFill>
        </w:rPr>
      </w:pPr>
    </w:p>
    <w:p w14:paraId="2223ED76">
      <w:pPr>
        <w:rPr>
          <w:rFonts w:ascii="宋体" w:hAnsi="宋体" w:eastAsia="宋体" w:cs="宋体"/>
          <w:highlight w:val="none"/>
        </w:rPr>
      </w:pPr>
    </w:p>
    <w:p w14:paraId="7B6BFDFA">
      <w:pPr>
        <w:pStyle w:val="13"/>
        <w:rPr>
          <w:rFonts w:ascii="宋体" w:hAnsi="宋体" w:eastAsia="宋体" w:cs="宋体"/>
          <w:highlight w:val="none"/>
        </w:rPr>
      </w:pPr>
    </w:p>
    <w:p w14:paraId="42D0CEFE">
      <w:pPr>
        <w:rPr>
          <w:rFonts w:ascii="宋体" w:hAnsi="宋体" w:eastAsia="宋体" w:cs="宋体"/>
          <w:highlight w:val="none"/>
        </w:rPr>
      </w:pPr>
    </w:p>
    <w:p w14:paraId="76E2F999">
      <w:pPr>
        <w:numPr>
          <w:ilvl w:val="3"/>
          <w:numId w:val="0"/>
        </w:numPr>
        <w:rPr>
          <w:rFonts w:ascii="宋体" w:hAnsi="宋体" w:eastAsia="宋体" w:cs="宋体"/>
          <w:highlight w:val="none"/>
        </w:rPr>
      </w:pPr>
    </w:p>
    <w:p w14:paraId="62C50B4C">
      <w:pPr>
        <w:numPr>
          <w:ilvl w:val="3"/>
          <w:numId w:val="0"/>
        </w:numPr>
        <w:rPr>
          <w:rFonts w:ascii="宋体" w:hAnsi="宋体" w:eastAsia="宋体" w:cs="宋体"/>
          <w:highlight w:val="none"/>
        </w:rPr>
      </w:pPr>
    </w:p>
    <w:p w14:paraId="7349D592">
      <w:pPr>
        <w:numPr>
          <w:ilvl w:val="3"/>
          <w:numId w:val="0"/>
        </w:numPr>
        <w:rPr>
          <w:rFonts w:ascii="宋体" w:hAnsi="宋体" w:eastAsia="宋体" w:cs="宋体"/>
          <w:highlight w:val="none"/>
        </w:rPr>
      </w:pPr>
      <w:bookmarkStart w:id="72" w:name="_Toc193187097"/>
      <w:bookmarkStart w:id="73" w:name="_Toc167849360"/>
      <w:bookmarkStart w:id="74" w:name="_Toc175032437"/>
      <w:bookmarkStart w:id="75" w:name="_Toc173549978"/>
      <w:bookmarkStart w:id="76" w:name="_Toc188808833"/>
      <w:bookmarkStart w:id="77" w:name="_Toc167591043"/>
      <w:bookmarkStart w:id="78" w:name="_Toc170980453"/>
      <w:bookmarkStart w:id="79" w:name="_Toc167590775"/>
      <w:bookmarkStart w:id="80" w:name="_Toc175033592"/>
      <w:bookmarkStart w:id="81" w:name="_Toc194663918"/>
      <w:bookmarkStart w:id="82" w:name="_Toc154482479"/>
      <w:bookmarkStart w:id="83" w:name="_Toc167591492"/>
      <w:bookmarkStart w:id="84" w:name="_Toc167591144"/>
      <w:bookmarkStart w:id="85" w:name="_Toc169846873"/>
      <w:bookmarkStart w:id="86" w:name="_Toc193126881"/>
      <w:bookmarkStart w:id="87" w:name="_Toc169846776"/>
      <w:bookmarkStart w:id="88" w:name="_Toc169838532"/>
      <w:bookmarkStart w:id="89" w:name="_Toc167591330"/>
      <w:bookmarkStart w:id="90" w:name="_Toc170980552"/>
    </w:p>
    <w:p w14:paraId="417B78F7">
      <w:pPr>
        <w:spacing w:line="480" w:lineRule="auto"/>
        <w:ind w:firstLine="2080" w:firstLineChars="700"/>
        <w:rPr>
          <w:rFonts w:ascii="宋体" w:hAnsi="宋体" w:eastAsia="宋体" w:cs="宋体"/>
          <w:b/>
          <w:color w:val="000000" w:themeColor="text1"/>
          <w:spacing w:val="8"/>
          <w:sz w:val="28"/>
          <w:szCs w:val="28"/>
          <w:highlight w:val="none"/>
          <w14:textFill>
            <w14:solidFill>
              <w14:schemeClr w14:val="tx1"/>
            </w14:solidFill>
          </w14:textFill>
        </w:rPr>
      </w:pPr>
      <w:r>
        <w:rPr>
          <w:rFonts w:hint="eastAsia" w:ascii="宋体" w:hAnsi="宋体" w:eastAsia="宋体" w:cs="宋体"/>
          <w:b/>
          <w:color w:val="000000" w:themeColor="text1"/>
          <w:spacing w:val="8"/>
          <w:sz w:val="28"/>
          <w:szCs w:val="28"/>
          <w:highlight w:val="none"/>
          <w14:textFill>
            <w14:solidFill>
              <w14:schemeClr w14:val="tx1"/>
            </w14:solidFill>
          </w14:textFill>
        </w:rPr>
        <w:t>供应商名称：</w:t>
      </w:r>
      <w:r>
        <w:rPr>
          <w:rFonts w:hint="eastAsia" w:ascii="宋体" w:hAnsi="宋体" w:eastAsia="宋体" w:cs="宋体"/>
          <w:b/>
          <w:color w:val="000000" w:themeColor="text1"/>
          <w:spacing w:val="8"/>
          <w:sz w:val="28"/>
          <w:szCs w:val="28"/>
          <w:highlight w:val="none"/>
          <w:u w:val="single"/>
          <w14:textFill>
            <w14:solidFill>
              <w14:schemeClr w14:val="tx1"/>
            </w14:solidFill>
          </w14:textFill>
        </w:rPr>
        <w:t xml:space="preserve">               </w:t>
      </w:r>
      <w:r>
        <w:rPr>
          <w:rFonts w:hint="eastAsia" w:ascii="宋体" w:hAnsi="宋体" w:eastAsia="宋体" w:cs="宋体"/>
          <w:b/>
          <w:color w:val="000000" w:themeColor="text1"/>
          <w:spacing w:val="8"/>
          <w:sz w:val="28"/>
          <w:szCs w:val="28"/>
          <w:highlight w:val="none"/>
          <w14:textFill>
            <w14:solidFill>
              <w14:schemeClr w14:val="tx1"/>
            </w14:solidFill>
          </w14:textFill>
        </w:rPr>
        <w:t>（公章）</w:t>
      </w:r>
    </w:p>
    <w:p w14:paraId="6A4F6728">
      <w:pPr>
        <w:spacing w:line="480" w:lineRule="auto"/>
        <w:ind w:firstLine="2125" w:firstLineChars="756"/>
        <w:rPr>
          <w:rFonts w:ascii="宋体" w:hAnsi="宋体" w:eastAsia="宋体" w:cs="宋体"/>
          <w:b/>
          <w:color w:val="000000" w:themeColor="text1"/>
          <w:sz w:val="28"/>
          <w:szCs w:val="28"/>
          <w:highlight w:val="none"/>
          <w:u w:val="singl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时      间：</w:t>
      </w:r>
      <w:r>
        <w:rPr>
          <w:rFonts w:hint="eastAsia" w:ascii="宋体" w:hAnsi="宋体" w:eastAsia="宋体" w:cs="宋体"/>
          <w:b/>
          <w:color w:val="000000" w:themeColor="text1"/>
          <w:sz w:val="28"/>
          <w:szCs w:val="28"/>
          <w:highlight w:val="none"/>
          <w:u w:val="single"/>
          <w14:textFill>
            <w14:solidFill>
              <w14:schemeClr w14:val="tx1"/>
            </w14:solidFill>
          </w14:textFill>
        </w:rPr>
        <w:t xml:space="preserve">                        </w:t>
      </w:r>
    </w:p>
    <w:p w14:paraId="23CF5A26">
      <w:pPr>
        <w:rPr>
          <w:rFonts w:ascii="宋体" w:hAnsi="宋体" w:eastAsia="宋体" w:cs="宋体"/>
          <w:b/>
          <w:bCs/>
          <w:sz w:val="28"/>
          <w:szCs w:val="24"/>
          <w:highlight w:val="none"/>
        </w:rPr>
      </w:pPr>
      <w:r>
        <w:rPr>
          <w:rFonts w:hint="eastAsia" w:ascii="宋体" w:hAnsi="宋体" w:eastAsia="宋体" w:cs="宋体"/>
          <w:b/>
          <w:bCs/>
          <w:sz w:val="28"/>
          <w:szCs w:val="24"/>
          <w:highlight w:val="none"/>
        </w:rPr>
        <w:br w:type="page"/>
      </w:r>
    </w:p>
    <w:p w14:paraId="6FA0A612">
      <w:pPr>
        <w:rPr>
          <w:rFonts w:ascii="宋体" w:hAnsi="宋体" w:eastAsia="宋体" w:cs="宋体"/>
          <w:b/>
          <w:bCs/>
          <w:sz w:val="28"/>
          <w:szCs w:val="24"/>
          <w:highlight w:val="none"/>
        </w:rPr>
      </w:pPr>
      <w:r>
        <w:rPr>
          <w:rFonts w:hint="eastAsia" w:ascii="宋体" w:hAnsi="宋体" w:eastAsia="宋体" w:cs="宋体"/>
          <w:b/>
          <w:bCs/>
          <w:sz w:val="28"/>
          <w:szCs w:val="24"/>
          <w:highlight w:val="none"/>
        </w:rPr>
        <w:t>二、资格证明文件</w:t>
      </w:r>
    </w:p>
    <w:p w14:paraId="6B79F18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p>
    <w:p w14:paraId="25BACA1F">
      <w:pPr>
        <w:numPr>
          <w:ilvl w:val="0"/>
          <w:numId w:val="6"/>
        </w:num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营业执照等主体资格证明文件</w:t>
      </w:r>
    </w:p>
    <w:p w14:paraId="5D796894">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2）财务状况报告</w:t>
      </w:r>
    </w:p>
    <w:p w14:paraId="755327EB">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r>
        <w:rPr>
          <w:rFonts w:hint="eastAsia" w:ascii="宋体" w:hAnsi="宋体" w:eastAsia="宋体" w:cs="宋体"/>
          <w:color w:val="000000" w:themeColor="text1"/>
          <w:szCs w:val="24"/>
          <w:highlight w:val="none"/>
          <w14:textFill>
            <w14:solidFill>
              <w14:schemeClr w14:val="tx1"/>
            </w14:solidFill>
          </w14:textFill>
        </w:rPr>
        <w:t>）社保缴纳证明</w:t>
      </w:r>
    </w:p>
    <w:p w14:paraId="17E2FA21">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）税收缴纳证明</w:t>
      </w:r>
    </w:p>
    <w:p w14:paraId="3B9930A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）信用记录</w:t>
      </w:r>
    </w:p>
    <w:p w14:paraId="0BBFE7C1">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r>
        <w:rPr>
          <w:rFonts w:hint="eastAsia" w:ascii="宋体" w:hAnsi="宋体" w:eastAsia="宋体" w:cs="宋体"/>
          <w:color w:val="000000" w:themeColor="text1"/>
          <w:szCs w:val="24"/>
          <w:highlight w:val="none"/>
          <w14:textFill>
            <w14:solidFill>
              <w14:schemeClr w14:val="tx1"/>
            </w14:solidFill>
          </w14:textFill>
        </w:rPr>
        <w:t>）控股管理关系</w:t>
      </w:r>
    </w:p>
    <w:p w14:paraId="2F68BDA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）书面声明</w:t>
      </w:r>
    </w:p>
    <w:p w14:paraId="6F82948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8</w:t>
      </w:r>
      <w:r>
        <w:rPr>
          <w:rFonts w:hint="eastAsia" w:ascii="宋体" w:hAnsi="宋体" w:eastAsia="宋体" w:cs="宋体"/>
          <w:color w:val="000000" w:themeColor="text1"/>
          <w:szCs w:val="24"/>
          <w:highlight w:val="none"/>
          <w14:textFill>
            <w14:solidFill>
              <w14:schemeClr w14:val="tx1"/>
            </w14:solidFill>
          </w14:textFill>
        </w:rPr>
        <w:t>）法定代表人授权委托书</w:t>
      </w:r>
    </w:p>
    <w:p w14:paraId="4C1E888E">
      <w:pPr>
        <w:spacing w:line="480" w:lineRule="auto"/>
        <w:ind w:firstLine="470" w:firstLineChars="196"/>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9</w:t>
      </w:r>
      <w:r>
        <w:rPr>
          <w:rFonts w:hint="eastAsia" w:ascii="宋体" w:hAnsi="宋体" w:eastAsia="宋体" w:cs="宋体"/>
          <w:color w:val="000000" w:themeColor="text1"/>
          <w:szCs w:val="24"/>
          <w:highlight w:val="none"/>
          <w14:textFill>
            <w14:solidFill>
              <w14:schemeClr w14:val="tx1"/>
            </w14:solidFill>
          </w14:textFill>
        </w:rPr>
        <w:t>）履行合同所必须的证明资料</w:t>
      </w:r>
    </w:p>
    <w:p w14:paraId="23CE2130">
      <w:pPr>
        <w:spacing w:line="480" w:lineRule="auto"/>
        <w:ind w:firstLine="470" w:firstLineChars="196"/>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w:t>
      </w:r>
    </w:p>
    <w:p w14:paraId="3DE1CF8E">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br w:type="page"/>
      </w:r>
    </w:p>
    <w:p w14:paraId="66AC2787">
      <w:pPr>
        <w:spacing w:line="360" w:lineRule="auto"/>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8</w:t>
      </w:r>
      <w:r>
        <w:rPr>
          <w:rFonts w:hint="eastAsia" w:ascii="宋体" w:hAnsi="宋体" w:eastAsia="宋体" w:cs="宋体"/>
          <w:b/>
          <w:color w:val="000000" w:themeColor="text1"/>
          <w:kern w:val="0"/>
          <w:sz w:val="28"/>
          <w:highlight w:val="none"/>
          <w14:textFill>
            <w14:solidFill>
              <w14:schemeClr w14:val="tx1"/>
            </w14:solidFill>
          </w14:textFill>
        </w:rPr>
        <w:t>、法定代表人资格证明书及法定代表人授权委托书</w:t>
      </w:r>
    </w:p>
    <w:p w14:paraId="50A7EE56">
      <w:pPr>
        <w:spacing w:line="360" w:lineRule="auto"/>
        <w:jc w:val="center"/>
        <w:rPr>
          <w:rFonts w:ascii="宋体" w:hAnsi="宋体" w:eastAsia="宋体" w:cs="宋体"/>
          <w:bCs/>
          <w:kern w:val="0"/>
          <w:sz w:val="28"/>
          <w:szCs w:val="28"/>
          <w:highlight w:val="none"/>
        </w:rPr>
      </w:pPr>
      <w:r>
        <w:rPr>
          <w:rFonts w:hint="eastAsia" w:ascii="宋体" w:hAnsi="宋体" w:eastAsia="宋体" w:cs="宋体"/>
          <w:bCs/>
          <w:kern w:val="0"/>
          <w:sz w:val="28"/>
          <w:szCs w:val="28"/>
          <w:highlight w:val="none"/>
        </w:rPr>
        <w:t>（法定代表人参与时提供</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-1、被授权人参与时提供</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-1和</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-2）</w:t>
      </w:r>
    </w:p>
    <w:p w14:paraId="417CB77C">
      <w:pPr>
        <w:spacing w:line="480" w:lineRule="exact"/>
        <w:ind w:left="240" w:leftChars="100"/>
        <w:jc w:val="center"/>
        <w:rPr>
          <w:rFonts w:ascii="宋体" w:hAnsi="宋体" w:eastAsia="宋体" w:cs="宋体"/>
          <w:bCs/>
          <w:highlight w:val="none"/>
        </w:rPr>
      </w:pPr>
      <w:bookmarkStart w:id="91" w:name="_Toc47418732"/>
      <w:bookmarkStart w:id="92" w:name="_Toc47262070"/>
      <w:bookmarkStart w:id="93" w:name="_Toc48995852"/>
      <w:bookmarkStart w:id="94" w:name="_Toc49019498"/>
      <w:bookmarkStart w:id="95" w:name="_Toc47418256"/>
      <w:bookmarkStart w:id="96" w:name="_Toc47418939"/>
      <w:bookmarkStart w:id="97" w:name="_Toc49019237"/>
      <w:bookmarkStart w:id="98" w:name="_Toc47261691"/>
      <w:bookmarkStart w:id="99" w:name="_Toc47261886"/>
      <w:bookmarkStart w:id="100" w:name="_Toc48791236"/>
      <w:r>
        <w:rPr>
          <w:rFonts w:hint="eastAsia" w:ascii="宋体" w:hAnsi="宋体" w:eastAsia="宋体" w:cs="宋体"/>
          <w:bCs/>
          <w:highlight w:val="none"/>
          <w:lang w:val="en-US" w:eastAsia="zh-CN"/>
        </w:rPr>
        <w:t>8</w:t>
      </w:r>
      <w:r>
        <w:rPr>
          <w:rFonts w:hint="eastAsia" w:ascii="宋体" w:hAnsi="宋体" w:eastAsia="宋体" w:cs="宋体"/>
          <w:bCs/>
          <w:highlight w:val="none"/>
        </w:rPr>
        <w:t>-1、法定代表人资格证明书</w:t>
      </w:r>
    </w:p>
    <w:tbl>
      <w:tblPr>
        <w:tblStyle w:val="37"/>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2454"/>
        <w:gridCol w:w="1952"/>
        <w:gridCol w:w="1327"/>
        <w:gridCol w:w="1377"/>
      </w:tblGrid>
      <w:tr w14:paraId="75DB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720" w:type="dxa"/>
            <w:gridSpan w:val="5"/>
            <w:vAlign w:val="center"/>
          </w:tcPr>
          <w:p w14:paraId="77C76FD5">
            <w:pPr>
              <w:tabs>
                <w:tab w:val="right" w:leader="dot" w:pos="9022"/>
              </w:tabs>
              <w:autoSpaceDE w:val="0"/>
              <w:autoSpaceDN w:val="0"/>
              <w:adjustRightInd w:val="0"/>
              <w:spacing w:line="480" w:lineRule="exact"/>
              <w:rPr>
                <w:rFonts w:hint="eastAsia" w:ascii="宋体" w:hAnsi="宋体" w:eastAsia="宋体" w:cs="宋体"/>
                <w:bCs/>
                <w:caps/>
                <w:highlight w:val="none"/>
                <w:lang w:eastAsia="zh-CN"/>
              </w:rPr>
            </w:pPr>
            <w:r>
              <w:rPr>
                <w:rFonts w:hint="eastAsia" w:ascii="宋体" w:hAnsi="宋体" w:eastAsia="宋体" w:cs="宋体"/>
                <w:bCs/>
                <w:caps/>
                <w:highlight w:val="none"/>
              </w:rPr>
              <w:t>致：</w:t>
            </w:r>
            <w:r>
              <w:rPr>
                <w:rFonts w:hint="eastAsia" w:ascii="宋体" w:hAnsi="宋体" w:eastAsia="宋体" w:cs="宋体"/>
                <w:bCs/>
                <w:caps/>
                <w:highlight w:val="none"/>
                <w:lang w:eastAsia="zh-CN"/>
              </w:rPr>
              <w:t>华地众信工程项目管理有限公司</w:t>
            </w:r>
          </w:p>
        </w:tc>
      </w:tr>
      <w:tr w14:paraId="2D1A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610" w:type="dxa"/>
            <w:vAlign w:val="center"/>
          </w:tcPr>
          <w:p w14:paraId="4903079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项目名称</w:t>
            </w:r>
          </w:p>
        </w:tc>
        <w:tc>
          <w:tcPr>
            <w:tcW w:w="7110" w:type="dxa"/>
            <w:gridSpan w:val="4"/>
            <w:vAlign w:val="center"/>
          </w:tcPr>
          <w:p w14:paraId="5FE86B17">
            <w:pPr>
              <w:tabs>
                <w:tab w:val="right" w:leader="dot" w:pos="9022"/>
              </w:tabs>
              <w:autoSpaceDE w:val="0"/>
              <w:autoSpaceDN w:val="0"/>
              <w:adjustRightInd w:val="0"/>
              <w:spacing w:line="480" w:lineRule="exact"/>
              <w:rPr>
                <w:rFonts w:ascii="宋体" w:hAnsi="宋体" w:eastAsia="宋体" w:cs="宋体"/>
                <w:bCs/>
                <w:caps/>
                <w:highlight w:val="none"/>
              </w:rPr>
            </w:pPr>
          </w:p>
        </w:tc>
      </w:tr>
      <w:tr w14:paraId="2804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610" w:type="dxa"/>
            <w:vAlign w:val="center"/>
          </w:tcPr>
          <w:p w14:paraId="233FC06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highlight w:val="none"/>
              </w:rPr>
              <w:t>项目编号</w:t>
            </w:r>
          </w:p>
        </w:tc>
        <w:tc>
          <w:tcPr>
            <w:tcW w:w="7110" w:type="dxa"/>
            <w:gridSpan w:val="4"/>
            <w:vAlign w:val="center"/>
          </w:tcPr>
          <w:p w14:paraId="7AF97864">
            <w:pPr>
              <w:tabs>
                <w:tab w:val="right" w:leader="dot" w:pos="9022"/>
              </w:tabs>
              <w:autoSpaceDE w:val="0"/>
              <w:autoSpaceDN w:val="0"/>
              <w:adjustRightInd w:val="0"/>
              <w:spacing w:line="480" w:lineRule="exact"/>
              <w:rPr>
                <w:rFonts w:ascii="宋体" w:hAnsi="宋体" w:eastAsia="宋体" w:cs="宋体"/>
                <w:bCs/>
                <w:caps/>
                <w:highlight w:val="none"/>
              </w:rPr>
            </w:pPr>
          </w:p>
        </w:tc>
      </w:tr>
      <w:tr w14:paraId="700F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610" w:type="dxa"/>
            <w:vAlign w:val="center"/>
          </w:tcPr>
          <w:p w14:paraId="71B382A7">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权   限</w:t>
            </w:r>
          </w:p>
        </w:tc>
        <w:tc>
          <w:tcPr>
            <w:tcW w:w="7110" w:type="dxa"/>
            <w:gridSpan w:val="4"/>
            <w:vAlign w:val="center"/>
          </w:tcPr>
          <w:p w14:paraId="0FF21C0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办理本次采购项目的投标、联系、洽谈、签约、执行等具体事务，签署全部有关文件、文书、协议及合同。</w:t>
            </w:r>
          </w:p>
        </w:tc>
      </w:tr>
      <w:tr w14:paraId="49C0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Align w:val="center"/>
          </w:tcPr>
          <w:p w14:paraId="1CEED05E">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有效期</w:t>
            </w:r>
          </w:p>
        </w:tc>
        <w:tc>
          <w:tcPr>
            <w:tcW w:w="7110" w:type="dxa"/>
            <w:gridSpan w:val="4"/>
            <w:vAlign w:val="center"/>
          </w:tcPr>
          <w:p w14:paraId="0DC68E4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自投标截止之日起90日历天</w:t>
            </w:r>
          </w:p>
        </w:tc>
      </w:tr>
      <w:tr w14:paraId="6D05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restart"/>
            <w:vAlign w:val="center"/>
          </w:tcPr>
          <w:p w14:paraId="7CCEC7CD">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企业</w:t>
            </w:r>
          </w:p>
          <w:p w14:paraId="39645BD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信息</w:t>
            </w:r>
          </w:p>
        </w:tc>
        <w:tc>
          <w:tcPr>
            <w:tcW w:w="2454" w:type="dxa"/>
            <w:vAlign w:val="center"/>
          </w:tcPr>
          <w:p w14:paraId="33CF29C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 xml:space="preserve">企 业 名 称 </w:t>
            </w:r>
          </w:p>
        </w:tc>
        <w:tc>
          <w:tcPr>
            <w:tcW w:w="4656" w:type="dxa"/>
            <w:gridSpan w:val="3"/>
            <w:vAlign w:val="center"/>
          </w:tcPr>
          <w:p w14:paraId="3417E030">
            <w:pPr>
              <w:tabs>
                <w:tab w:val="right" w:leader="dot" w:pos="9022"/>
              </w:tabs>
              <w:autoSpaceDE w:val="0"/>
              <w:autoSpaceDN w:val="0"/>
              <w:adjustRightInd w:val="0"/>
              <w:spacing w:line="480" w:lineRule="exact"/>
              <w:rPr>
                <w:rFonts w:ascii="宋体" w:hAnsi="宋体" w:eastAsia="宋体" w:cs="宋体"/>
                <w:bCs/>
                <w:caps/>
                <w:highlight w:val="none"/>
              </w:rPr>
            </w:pPr>
          </w:p>
        </w:tc>
      </w:tr>
      <w:tr w14:paraId="38F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1DBB67A">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6CB8F8C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 定 地 址</w:t>
            </w:r>
          </w:p>
        </w:tc>
        <w:tc>
          <w:tcPr>
            <w:tcW w:w="4656" w:type="dxa"/>
            <w:gridSpan w:val="3"/>
            <w:vAlign w:val="center"/>
          </w:tcPr>
          <w:p w14:paraId="59F324DD">
            <w:pPr>
              <w:tabs>
                <w:tab w:val="right" w:leader="dot" w:pos="9022"/>
              </w:tabs>
              <w:autoSpaceDE w:val="0"/>
              <w:autoSpaceDN w:val="0"/>
              <w:adjustRightInd w:val="0"/>
              <w:spacing w:line="480" w:lineRule="exact"/>
              <w:rPr>
                <w:rFonts w:ascii="宋体" w:hAnsi="宋体" w:eastAsia="宋体" w:cs="宋体"/>
                <w:bCs/>
                <w:caps/>
                <w:highlight w:val="none"/>
              </w:rPr>
            </w:pPr>
          </w:p>
        </w:tc>
      </w:tr>
      <w:tr w14:paraId="232B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21B1A2D">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7424EB8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营业执照注册证号</w:t>
            </w:r>
          </w:p>
        </w:tc>
        <w:tc>
          <w:tcPr>
            <w:tcW w:w="4656" w:type="dxa"/>
            <w:gridSpan w:val="3"/>
            <w:vAlign w:val="center"/>
          </w:tcPr>
          <w:p w14:paraId="4D64CD44">
            <w:pPr>
              <w:tabs>
                <w:tab w:val="right" w:leader="dot" w:pos="9022"/>
              </w:tabs>
              <w:autoSpaceDE w:val="0"/>
              <w:autoSpaceDN w:val="0"/>
              <w:adjustRightInd w:val="0"/>
              <w:spacing w:line="480" w:lineRule="exact"/>
              <w:rPr>
                <w:rFonts w:ascii="宋体" w:hAnsi="宋体" w:eastAsia="宋体" w:cs="宋体"/>
                <w:bCs/>
                <w:caps/>
                <w:highlight w:val="none"/>
              </w:rPr>
            </w:pPr>
          </w:p>
        </w:tc>
      </w:tr>
      <w:tr w14:paraId="11C3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085374AB">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2D5F35B5">
            <w:pPr>
              <w:tabs>
                <w:tab w:val="right" w:leader="dot" w:pos="9022"/>
              </w:tabs>
              <w:spacing w:line="480" w:lineRule="exact"/>
              <w:rPr>
                <w:rFonts w:ascii="宋体" w:hAnsi="宋体" w:eastAsia="宋体" w:cs="宋体"/>
                <w:bCs/>
                <w:caps/>
                <w:highlight w:val="none"/>
              </w:rPr>
            </w:pPr>
            <w:r>
              <w:rPr>
                <w:rFonts w:hint="eastAsia" w:ascii="宋体" w:hAnsi="宋体" w:eastAsia="宋体" w:cs="宋体"/>
                <w:bCs/>
                <w:caps/>
                <w:highlight w:val="none"/>
              </w:rPr>
              <w:t>工商登记机关</w:t>
            </w:r>
          </w:p>
        </w:tc>
        <w:tc>
          <w:tcPr>
            <w:tcW w:w="4656" w:type="dxa"/>
            <w:gridSpan w:val="3"/>
            <w:vAlign w:val="center"/>
          </w:tcPr>
          <w:p w14:paraId="68159791">
            <w:pPr>
              <w:tabs>
                <w:tab w:val="right" w:leader="dot" w:pos="9022"/>
              </w:tabs>
              <w:autoSpaceDE w:val="0"/>
              <w:autoSpaceDN w:val="0"/>
              <w:adjustRightInd w:val="0"/>
              <w:spacing w:line="480" w:lineRule="exact"/>
              <w:rPr>
                <w:rFonts w:ascii="宋体" w:hAnsi="宋体" w:eastAsia="宋体" w:cs="宋体"/>
                <w:bCs/>
                <w:caps/>
                <w:highlight w:val="none"/>
              </w:rPr>
            </w:pPr>
          </w:p>
        </w:tc>
      </w:tr>
      <w:tr w14:paraId="4841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5EEAD7B5">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131C8EE4">
            <w:pPr>
              <w:tabs>
                <w:tab w:val="right" w:leader="dot" w:pos="9022"/>
              </w:tabs>
              <w:spacing w:line="480" w:lineRule="exact"/>
              <w:rPr>
                <w:rFonts w:ascii="宋体" w:hAnsi="宋体" w:eastAsia="宋体" w:cs="宋体"/>
                <w:bCs/>
                <w:caps/>
                <w:highlight w:val="none"/>
              </w:rPr>
            </w:pPr>
            <w:r>
              <w:rPr>
                <w:rFonts w:hint="eastAsia" w:ascii="宋体" w:hAnsi="宋体" w:eastAsia="宋体" w:cs="宋体"/>
                <w:bCs/>
                <w:caps/>
                <w:highlight w:val="none"/>
              </w:rPr>
              <w:t>网        址</w:t>
            </w:r>
          </w:p>
        </w:tc>
        <w:tc>
          <w:tcPr>
            <w:tcW w:w="4656" w:type="dxa"/>
            <w:gridSpan w:val="3"/>
            <w:vAlign w:val="center"/>
          </w:tcPr>
          <w:p w14:paraId="5CDD3344">
            <w:pPr>
              <w:tabs>
                <w:tab w:val="right" w:leader="dot" w:pos="9022"/>
              </w:tabs>
              <w:autoSpaceDE w:val="0"/>
              <w:autoSpaceDN w:val="0"/>
              <w:adjustRightInd w:val="0"/>
              <w:spacing w:line="480" w:lineRule="exact"/>
              <w:rPr>
                <w:rFonts w:ascii="宋体" w:hAnsi="宋体" w:eastAsia="宋体" w:cs="宋体"/>
                <w:bCs/>
                <w:caps/>
                <w:highlight w:val="none"/>
              </w:rPr>
            </w:pPr>
          </w:p>
        </w:tc>
      </w:tr>
      <w:tr w14:paraId="67C8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restart"/>
            <w:vAlign w:val="center"/>
          </w:tcPr>
          <w:p w14:paraId="7D4549C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法定代</w:t>
            </w:r>
          </w:p>
          <w:p w14:paraId="1CD0D84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表人</w:t>
            </w:r>
          </w:p>
        </w:tc>
        <w:tc>
          <w:tcPr>
            <w:tcW w:w="2454" w:type="dxa"/>
            <w:vAlign w:val="center"/>
          </w:tcPr>
          <w:p w14:paraId="31AD653B">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姓    名</w:t>
            </w:r>
          </w:p>
        </w:tc>
        <w:tc>
          <w:tcPr>
            <w:tcW w:w="1952" w:type="dxa"/>
            <w:vAlign w:val="center"/>
          </w:tcPr>
          <w:p w14:paraId="478E3275">
            <w:pPr>
              <w:tabs>
                <w:tab w:val="right" w:leader="dot" w:pos="9022"/>
              </w:tabs>
              <w:autoSpaceDE w:val="0"/>
              <w:autoSpaceDN w:val="0"/>
              <w:adjustRightInd w:val="0"/>
              <w:spacing w:line="480" w:lineRule="exact"/>
              <w:rPr>
                <w:rFonts w:ascii="宋体" w:hAnsi="宋体" w:eastAsia="宋体" w:cs="宋体"/>
                <w:bCs/>
                <w:caps/>
                <w:highlight w:val="none"/>
              </w:rPr>
            </w:pPr>
          </w:p>
        </w:tc>
        <w:tc>
          <w:tcPr>
            <w:tcW w:w="1327" w:type="dxa"/>
            <w:vAlign w:val="center"/>
          </w:tcPr>
          <w:p w14:paraId="5DC2356D">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377" w:type="dxa"/>
            <w:vAlign w:val="center"/>
          </w:tcPr>
          <w:p w14:paraId="4AB4938D">
            <w:pPr>
              <w:tabs>
                <w:tab w:val="right" w:leader="dot" w:pos="9022"/>
              </w:tabs>
              <w:autoSpaceDE w:val="0"/>
              <w:autoSpaceDN w:val="0"/>
              <w:adjustRightInd w:val="0"/>
              <w:spacing w:line="480" w:lineRule="exact"/>
              <w:rPr>
                <w:rFonts w:ascii="宋体" w:hAnsi="宋体" w:eastAsia="宋体" w:cs="宋体"/>
                <w:bCs/>
                <w:caps/>
                <w:highlight w:val="none"/>
              </w:rPr>
            </w:pPr>
          </w:p>
        </w:tc>
      </w:tr>
      <w:tr w14:paraId="4D8A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69E8339F">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6ADA445B">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职    务</w:t>
            </w:r>
          </w:p>
        </w:tc>
        <w:tc>
          <w:tcPr>
            <w:tcW w:w="1952" w:type="dxa"/>
            <w:vAlign w:val="center"/>
          </w:tcPr>
          <w:p w14:paraId="238FB45B">
            <w:pPr>
              <w:tabs>
                <w:tab w:val="right" w:leader="dot" w:pos="9022"/>
              </w:tabs>
              <w:autoSpaceDE w:val="0"/>
              <w:autoSpaceDN w:val="0"/>
              <w:adjustRightInd w:val="0"/>
              <w:spacing w:line="480" w:lineRule="exact"/>
              <w:rPr>
                <w:rFonts w:ascii="宋体" w:hAnsi="宋体" w:eastAsia="宋体" w:cs="宋体"/>
                <w:bCs/>
                <w:caps/>
                <w:highlight w:val="none"/>
              </w:rPr>
            </w:pPr>
          </w:p>
        </w:tc>
        <w:tc>
          <w:tcPr>
            <w:tcW w:w="1327" w:type="dxa"/>
            <w:vAlign w:val="center"/>
          </w:tcPr>
          <w:p w14:paraId="32005ED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377" w:type="dxa"/>
            <w:vAlign w:val="center"/>
          </w:tcPr>
          <w:p w14:paraId="35A4AC48">
            <w:pPr>
              <w:tabs>
                <w:tab w:val="right" w:leader="dot" w:pos="9022"/>
              </w:tabs>
              <w:autoSpaceDE w:val="0"/>
              <w:autoSpaceDN w:val="0"/>
              <w:adjustRightInd w:val="0"/>
              <w:spacing w:line="480" w:lineRule="exact"/>
              <w:rPr>
                <w:rFonts w:ascii="宋体" w:hAnsi="宋体" w:eastAsia="宋体" w:cs="宋体"/>
                <w:bCs/>
                <w:caps/>
                <w:highlight w:val="none"/>
              </w:rPr>
            </w:pPr>
          </w:p>
        </w:tc>
      </w:tr>
      <w:tr w14:paraId="396F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F3DCC13">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5149826E">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传    真</w:t>
            </w:r>
          </w:p>
        </w:tc>
        <w:tc>
          <w:tcPr>
            <w:tcW w:w="4656" w:type="dxa"/>
            <w:gridSpan w:val="3"/>
            <w:vAlign w:val="center"/>
          </w:tcPr>
          <w:p w14:paraId="57CA1315">
            <w:pPr>
              <w:tabs>
                <w:tab w:val="right" w:leader="dot" w:pos="9022"/>
              </w:tabs>
              <w:autoSpaceDE w:val="0"/>
              <w:autoSpaceDN w:val="0"/>
              <w:adjustRightInd w:val="0"/>
              <w:spacing w:line="480" w:lineRule="exact"/>
              <w:rPr>
                <w:rFonts w:ascii="宋体" w:hAnsi="宋体" w:eastAsia="宋体" w:cs="宋体"/>
                <w:bCs/>
                <w:caps/>
                <w:highlight w:val="none"/>
              </w:rPr>
            </w:pPr>
          </w:p>
        </w:tc>
      </w:tr>
      <w:tr w14:paraId="0855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3FD690D9">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08387582">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通讯地址</w:t>
            </w:r>
          </w:p>
        </w:tc>
        <w:tc>
          <w:tcPr>
            <w:tcW w:w="4656" w:type="dxa"/>
            <w:gridSpan w:val="3"/>
            <w:vAlign w:val="center"/>
          </w:tcPr>
          <w:p w14:paraId="0A338CFD">
            <w:pPr>
              <w:tabs>
                <w:tab w:val="right" w:leader="dot" w:pos="9022"/>
              </w:tabs>
              <w:autoSpaceDE w:val="0"/>
              <w:autoSpaceDN w:val="0"/>
              <w:adjustRightInd w:val="0"/>
              <w:spacing w:line="480" w:lineRule="exact"/>
              <w:rPr>
                <w:rFonts w:ascii="宋体" w:hAnsi="宋体" w:eastAsia="宋体" w:cs="宋体"/>
                <w:bCs/>
                <w:caps/>
                <w:highlight w:val="none"/>
              </w:rPr>
            </w:pPr>
          </w:p>
        </w:tc>
      </w:tr>
      <w:tr w14:paraId="0A97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7" w:hRule="atLeast"/>
          <w:jc w:val="center"/>
        </w:trPr>
        <w:tc>
          <w:tcPr>
            <w:tcW w:w="8720" w:type="dxa"/>
            <w:gridSpan w:val="5"/>
            <w:vAlign w:val="center"/>
          </w:tcPr>
          <w:p w14:paraId="0B4C32BA">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法定代表人身份证正、反面</w:t>
            </w:r>
          </w:p>
        </w:tc>
      </w:tr>
    </w:tbl>
    <w:p w14:paraId="37FFFB12">
      <w:pPr>
        <w:spacing w:line="480" w:lineRule="exact"/>
        <w:ind w:firstLine="120" w:firstLineChars="50"/>
        <w:rPr>
          <w:rFonts w:ascii="宋体" w:hAnsi="宋体" w:eastAsia="宋体" w:cs="宋体"/>
          <w:highlight w:val="none"/>
        </w:rPr>
      </w:pPr>
    </w:p>
    <w:p w14:paraId="658C8A73">
      <w:pPr>
        <w:tabs>
          <w:tab w:val="left" w:pos="1260"/>
        </w:tabs>
        <w:spacing w:line="480" w:lineRule="exact"/>
        <w:ind w:firstLine="240" w:firstLineChars="100"/>
        <w:jc w:val="left"/>
        <w:rPr>
          <w:rFonts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rPr>
        <w:t>（盖章）</w:t>
      </w:r>
    </w:p>
    <w:p w14:paraId="73544628">
      <w:pPr>
        <w:tabs>
          <w:tab w:val="left" w:pos="1260"/>
        </w:tabs>
        <w:spacing w:line="480" w:lineRule="exact"/>
        <w:ind w:firstLine="240" w:firstLineChars="100"/>
        <w:jc w:val="left"/>
        <w:rPr>
          <w:rFonts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62BD52EF">
      <w:pPr>
        <w:spacing w:line="480" w:lineRule="exact"/>
        <w:ind w:left="240" w:leftChars="100"/>
        <w:jc w:val="center"/>
        <w:rPr>
          <w:rFonts w:ascii="宋体" w:hAnsi="宋体" w:eastAsia="宋体" w:cs="宋体"/>
          <w:sz w:val="28"/>
          <w:szCs w:val="28"/>
          <w:highlight w:val="none"/>
        </w:rPr>
      </w:pPr>
      <w:r>
        <w:rPr>
          <w:rFonts w:hint="eastAsia" w:ascii="宋体" w:hAnsi="宋体" w:eastAsia="宋体" w:cs="宋体"/>
          <w:sz w:val="28"/>
          <w:szCs w:val="28"/>
          <w:highlight w:val="none"/>
        </w:rPr>
        <w:br w:type="page"/>
      </w:r>
    </w:p>
    <w:p w14:paraId="28A44D23">
      <w:pPr>
        <w:spacing w:line="480" w:lineRule="exact"/>
        <w:ind w:left="240" w:leftChars="100"/>
        <w:jc w:val="center"/>
        <w:rPr>
          <w:rFonts w:ascii="宋体" w:hAnsi="宋体" w:eastAsia="宋体" w:cs="宋体"/>
          <w:highlight w:val="none"/>
        </w:rPr>
      </w:pPr>
      <w:r>
        <w:rPr>
          <w:rFonts w:hint="eastAsia" w:ascii="宋体" w:hAnsi="宋体" w:eastAsia="宋体" w:cs="宋体"/>
          <w:highlight w:val="none"/>
          <w:lang w:val="en-US" w:eastAsia="zh-CN"/>
        </w:rPr>
        <w:t>8</w:t>
      </w:r>
      <w:r>
        <w:rPr>
          <w:rFonts w:hint="eastAsia" w:ascii="宋体" w:hAnsi="宋体" w:eastAsia="宋体" w:cs="宋体"/>
          <w:highlight w:val="none"/>
        </w:rPr>
        <w:t>-2、法定代表人授权委托书</w:t>
      </w:r>
    </w:p>
    <w:tbl>
      <w:tblPr>
        <w:tblStyle w:val="37"/>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1371"/>
        <w:gridCol w:w="1148"/>
        <w:gridCol w:w="718"/>
        <w:gridCol w:w="860"/>
        <w:gridCol w:w="1578"/>
        <w:gridCol w:w="1923"/>
      </w:tblGrid>
      <w:tr w14:paraId="0F8F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320" w:type="dxa"/>
            <w:gridSpan w:val="7"/>
            <w:vAlign w:val="center"/>
          </w:tcPr>
          <w:p w14:paraId="40F9743C">
            <w:pPr>
              <w:tabs>
                <w:tab w:val="right" w:leader="dot" w:pos="9022"/>
              </w:tabs>
              <w:autoSpaceDE w:val="0"/>
              <w:autoSpaceDN w:val="0"/>
              <w:adjustRightInd w:val="0"/>
              <w:spacing w:line="480" w:lineRule="exact"/>
              <w:rPr>
                <w:rFonts w:hint="eastAsia" w:ascii="宋体" w:hAnsi="宋体" w:eastAsia="宋体" w:cs="宋体"/>
                <w:bCs/>
                <w:caps/>
                <w:highlight w:val="none"/>
                <w:lang w:eastAsia="zh-CN"/>
              </w:rPr>
            </w:pPr>
            <w:r>
              <w:rPr>
                <w:rFonts w:hint="eastAsia" w:ascii="宋体" w:hAnsi="宋体" w:eastAsia="宋体" w:cs="宋体"/>
                <w:bCs/>
                <w:caps/>
                <w:highlight w:val="none"/>
              </w:rPr>
              <w:t>致：</w:t>
            </w:r>
            <w:r>
              <w:rPr>
                <w:rFonts w:hint="eastAsia" w:ascii="宋体" w:hAnsi="宋体" w:eastAsia="宋体" w:cs="宋体"/>
                <w:bCs/>
                <w:caps/>
                <w:highlight w:val="none"/>
                <w:lang w:eastAsia="zh-CN"/>
              </w:rPr>
              <w:t>华地众信工程项目管理有限公司</w:t>
            </w:r>
          </w:p>
        </w:tc>
      </w:tr>
      <w:tr w14:paraId="4270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722" w:type="dxa"/>
            <w:vMerge w:val="restart"/>
            <w:vAlign w:val="center"/>
          </w:tcPr>
          <w:p w14:paraId="31CFD2C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被授权项目</w:t>
            </w:r>
          </w:p>
          <w:p w14:paraId="09DC5A77">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与内容</w:t>
            </w:r>
          </w:p>
        </w:tc>
        <w:tc>
          <w:tcPr>
            <w:tcW w:w="1371" w:type="dxa"/>
            <w:vAlign w:val="center"/>
          </w:tcPr>
          <w:p w14:paraId="55EF82E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项目名称</w:t>
            </w:r>
          </w:p>
        </w:tc>
        <w:tc>
          <w:tcPr>
            <w:tcW w:w="6227" w:type="dxa"/>
            <w:gridSpan w:val="5"/>
            <w:vAlign w:val="center"/>
          </w:tcPr>
          <w:p w14:paraId="1140D5AC">
            <w:pPr>
              <w:tabs>
                <w:tab w:val="right" w:leader="dot" w:pos="9022"/>
              </w:tabs>
              <w:autoSpaceDE w:val="0"/>
              <w:autoSpaceDN w:val="0"/>
              <w:adjustRightInd w:val="0"/>
              <w:spacing w:line="480" w:lineRule="exact"/>
              <w:rPr>
                <w:rFonts w:ascii="宋体" w:hAnsi="宋体" w:eastAsia="宋体" w:cs="宋体"/>
                <w:bCs/>
                <w:caps/>
                <w:highlight w:val="none"/>
              </w:rPr>
            </w:pPr>
          </w:p>
        </w:tc>
      </w:tr>
      <w:tr w14:paraId="7937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722" w:type="dxa"/>
            <w:vMerge w:val="continue"/>
            <w:vAlign w:val="center"/>
          </w:tcPr>
          <w:p w14:paraId="5C44202E">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46859E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highlight w:val="none"/>
              </w:rPr>
              <w:t>项目编号</w:t>
            </w:r>
          </w:p>
        </w:tc>
        <w:tc>
          <w:tcPr>
            <w:tcW w:w="6227" w:type="dxa"/>
            <w:gridSpan w:val="5"/>
            <w:vAlign w:val="center"/>
          </w:tcPr>
          <w:p w14:paraId="26219511">
            <w:pPr>
              <w:tabs>
                <w:tab w:val="right" w:leader="dot" w:pos="9022"/>
              </w:tabs>
              <w:autoSpaceDE w:val="0"/>
              <w:autoSpaceDN w:val="0"/>
              <w:adjustRightInd w:val="0"/>
              <w:spacing w:line="480" w:lineRule="exact"/>
              <w:rPr>
                <w:rFonts w:ascii="宋体" w:hAnsi="宋体" w:eastAsia="宋体" w:cs="宋体"/>
                <w:bCs/>
                <w:caps/>
                <w:highlight w:val="none"/>
              </w:rPr>
            </w:pPr>
          </w:p>
        </w:tc>
      </w:tr>
      <w:tr w14:paraId="6FE3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722" w:type="dxa"/>
            <w:vMerge w:val="continue"/>
            <w:vAlign w:val="center"/>
          </w:tcPr>
          <w:p w14:paraId="67D04DB0">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F69AF3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授权范围</w:t>
            </w:r>
          </w:p>
        </w:tc>
        <w:tc>
          <w:tcPr>
            <w:tcW w:w="6227" w:type="dxa"/>
            <w:gridSpan w:val="5"/>
            <w:vAlign w:val="center"/>
          </w:tcPr>
          <w:p w14:paraId="7E7A674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全权办理本次采购项目的磋商、联系、洽谈、签约、执行等具体事务，签署全部有关文件、文书、协议及合同。</w:t>
            </w:r>
          </w:p>
        </w:tc>
      </w:tr>
      <w:tr w14:paraId="52B5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722" w:type="dxa"/>
            <w:vMerge w:val="continue"/>
            <w:vAlign w:val="center"/>
          </w:tcPr>
          <w:p w14:paraId="7C8A058F">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44E095C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法律责任</w:t>
            </w:r>
          </w:p>
        </w:tc>
        <w:tc>
          <w:tcPr>
            <w:tcW w:w="6227" w:type="dxa"/>
            <w:gridSpan w:val="5"/>
            <w:vAlign w:val="center"/>
          </w:tcPr>
          <w:p w14:paraId="04C71144">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本公司对被授权人在本项目中的签名承担全部法律责任。</w:t>
            </w:r>
          </w:p>
        </w:tc>
      </w:tr>
      <w:tr w14:paraId="3C914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22" w:type="dxa"/>
            <w:vMerge w:val="continue"/>
            <w:vAlign w:val="center"/>
          </w:tcPr>
          <w:p w14:paraId="1948B74C">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34C74DAB">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授权期限</w:t>
            </w:r>
          </w:p>
        </w:tc>
        <w:tc>
          <w:tcPr>
            <w:tcW w:w="6227" w:type="dxa"/>
            <w:gridSpan w:val="5"/>
            <w:vAlign w:val="center"/>
          </w:tcPr>
          <w:p w14:paraId="5824FCCB">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highlight w:val="none"/>
              </w:rPr>
              <w:t>自投标截止之日起90日历天</w:t>
            </w:r>
          </w:p>
        </w:tc>
      </w:tr>
      <w:tr w14:paraId="0673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22" w:type="dxa"/>
            <w:vMerge w:val="restart"/>
            <w:vAlign w:val="center"/>
          </w:tcPr>
          <w:p w14:paraId="62510862">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企业信息</w:t>
            </w:r>
          </w:p>
        </w:tc>
        <w:tc>
          <w:tcPr>
            <w:tcW w:w="2519" w:type="dxa"/>
            <w:gridSpan w:val="2"/>
            <w:vAlign w:val="center"/>
          </w:tcPr>
          <w:p w14:paraId="4963611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 xml:space="preserve">企 业 名 称 </w:t>
            </w:r>
          </w:p>
        </w:tc>
        <w:tc>
          <w:tcPr>
            <w:tcW w:w="5079" w:type="dxa"/>
            <w:gridSpan w:val="4"/>
            <w:vAlign w:val="center"/>
          </w:tcPr>
          <w:p w14:paraId="547A1A1D">
            <w:pPr>
              <w:tabs>
                <w:tab w:val="right" w:leader="dot" w:pos="9022"/>
              </w:tabs>
              <w:autoSpaceDE w:val="0"/>
              <w:autoSpaceDN w:val="0"/>
              <w:adjustRightInd w:val="0"/>
              <w:spacing w:line="480" w:lineRule="exact"/>
              <w:rPr>
                <w:rFonts w:ascii="宋体" w:hAnsi="宋体" w:eastAsia="宋体" w:cs="宋体"/>
                <w:bCs/>
                <w:caps/>
                <w:highlight w:val="none"/>
              </w:rPr>
            </w:pPr>
          </w:p>
        </w:tc>
      </w:tr>
      <w:tr w14:paraId="350D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continue"/>
            <w:vAlign w:val="center"/>
          </w:tcPr>
          <w:p w14:paraId="1361B337">
            <w:pPr>
              <w:tabs>
                <w:tab w:val="right" w:leader="dot" w:pos="9022"/>
              </w:tabs>
              <w:autoSpaceDE w:val="0"/>
              <w:autoSpaceDN w:val="0"/>
              <w:adjustRightInd w:val="0"/>
              <w:spacing w:line="480" w:lineRule="exact"/>
              <w:rPr>
                <w:rFonts w:ascii="宋体" w:hAnsi="宋体" w:eastAsia="宋体" w:cs="宋体"/>
                <w:bCs/>
                <w:caps/>
                <w:highlight w:val="none"/>
              </w:rPr>
            </w:pPr>
          </w:p>
        </w:tc>
        <w:tc>
          <w:tcPr>
            <w:tcW w:w="2519" w:type="dxa"/>
            <w:gridSpan w:val="2"/>
            <w:vAlign w:val="center"/>
          </w:tcPr>
          <w:p w14:paraId="38A6BA89">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 定 地 址</w:t>
            </w:r>
          </w:p>
        </w:tc>
        <w:tc>
          <w:tcPr>
            <w:tcW w:w="5079" w:type="dxa"/>
            <w:gridSpan w:val="4"/>
            <w:vAlign w:val="center"/>
          </w:tcPr>
          <w:p w14:paraId="35C46305">
            <w:pPr>
              <w:tabs>
                <w:tab w:val="right" w:leader="dot" w:pos="9022"/>
              </w:tabs>
              <w:autoSpaceDE w:val="0"/>
              <w:autoSpaceDN w:val="0"/>
              <w:adjustRightInd w:val="0"/>
              <w:spacing w:line="480" w:lineRule="exact"/>
              <w:rPr>
                <w:rFonts w:ascii="宋体" w:hAnsi="宋体" w:eastAsia="宋体" w:cs="宋体"/>
                <w:bCs/>
                <w:caps/>
                <w:highlight w:val="none"/>
              </w:rPr>
            </w:pPr>
          </w:p>
        </w:tc>
      </w:tr>
      <w:tr w14:paraId="7FAB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continue"/>
            <w:vAlign w:val="center"/>
          </w:tcPr>
          <w:p w14:paraId="6161C94E">
            <w:pPr>
              <w:tabs>
                <w:tab w:val="right" w:leader="dot" w:pos="9022"/>
              </w:tabs>
              <w:autoSpaceDE w:val="0"/>
              <w:autoSpaceDN w:val="0"/>
              <w:adjustRightInd w:val="0"/>
              <w:spacing w:line="480" w:lineRule="exact"/>
              <w:rPr>
                <w:rFonts w:ascii="宋体" w:hAnsi="宋体" w:eastAsia="宋体" w:cs="宋体"/>
                <w:bCs/>
                <w:caps/>
                <w:highlight w:val="none"/>
              </w:rPr>
            </w:pPr>
          </w:p>
        </w:tc>
        <w:tc>
          <w:tcPr>
            <w:tcW w:w="2519" w:type="dxa"/>
            <w:gridSpan w:val="2"/>
            <w:vAlign w:val="center"/>
          </w:tcPr>
          <w:p w14:paraId="489DA53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营业执照注册证号</w:t>
            </w:r>
          </w:p>
        </w:tc>
        <w:tc>
          <w:tcPr>
            <w:tcW w:w="5079" w:type="dxa"/>
            <w:gridSpan w:val="4"/>
            <w:vAlign w:val="center"/>
          </w:tcPr>
          <w:p w14:paraId="096145FF">
            <w:pPr>
              <w:tabs>
                <w:tab w:val="right" w:leader="dot" w:pos="9022"/>
              </w:tabs>
              <w:autoSpaceDE w:val="0"/>
              <w:autoSpaceDN w:val="0"/>
              <w:adjustRightInd w:val="0"/>
              <w:spacing w:line="480" w:lineRule="exact"/>
              <w:rPr>
                <w:rFonts w:ascii="宋体" w:hAnsi="宋体" w:eastAsia="宋体" w:cs="宋体"/>
                <w:bCs/>
                <w:caps/>
                <w:highlight w:val="none"/>
              </w:rPr>
            </w:pPr>
          </w:p>
        </w:tc>
      </w:tr>
      <w:tr w14:paraId="32F7E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restart"/>
            <w:vAlign w:val="center"/>
          </w:tcPr>
          <w:p w14:paraId="0320491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法定代表人</w:t>
            </w:r>
          </w:p>
        </w:tc>
        <w:tc>
          <w:tcPr>
            <w:tcW w:w="1371" w:type="dxa"/>
            <w:vAlign w:val="center"/>
          </w:tcPr>
          <w:p w14:paraId="15008D95">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姓名</w:t>
            </w:r>
          </w:p>
        </w:tc>
        <w:tc>
          <w:tcPr>
            <w:tcW w:w="2726" w:type="dxa"/>
            <w:gridSpan w:val="3"/>
            <w:vAlign w:val="center"/>
          </w:tcPr>
          <w:p w14:paraId="1B4AC0DE">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69C25492">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923" w:type="dxa"/>
            <w:vAlign w:val="center"/>
          </w:tcPr>
          <w:p w14:paraId="0AFED8A7">
            <w:pPr>
              <w:tabs>
                <w:tab w:val="right" w:leader="dot" w:pos="9022"/>
              </w:tabs>
              <w:autoSpaceDE w:val="0"/>
              <w:autoSpaceDN w:val="0"/>
              <w:adjustRightInd w:val="0"/>
              <w:spacing w:line="480" w:lineRule="exact"/>
              <w:rPr>
                <w:rFonts w:ascii="宋体" w:hAnsi="宋体" w:eastAsia="宋体" w:cs="宋体"/>
                <w:bCs/>
                <w:caps/>
                <w:highlight w:val="none"/>
              </w:rPr>
            </w:pPr>
          </w:p>
        </w:tc>
      </w:tr>
      <w:tr w14:paraId="73C9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722" w:type="dxa"/>
            <w:vMerge w:val="continue"/>
            <w:vAlign w:val="center"/>
          </w:tcPr>
          <w:p w14:paraId="1D1B025C">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2D4258D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职务</w:t>
            </w:r>
          </w:p>
        </w:tc>
        <w:tc>
          <w:tcPr>
            <w:tcW w:w="2726" w:type="dxa"/>
            <w:gridSpan w:val="3"/>
            <w:vAlign w:val="center"/>
          </w:tcPr>
          <w:p w14:paraId="1BF3EA16">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48B63C8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923" w:type="dxa"/>
            <w:vAlign w:val="center"/>
          </w:tcPr>
          <w:p w14:paraId="3DEE904E">
            <w:pPr>
              <w:tabs>
                <w:tab w:val="right" w:leader="dot" w:pos="9022"/>
              </w:tabs>
              <w:autoSpaceDE w:val="0"/>
              <w:autoSpaceDN w:val="0"/>
              <w:adjustRightInd w:val="0"/>
              <w:spacing w:line="480" w:lineRule="exact"/>
              <w:rPr>
                <w:rFonts w:ascii="宋体" w:hAnsi="宋体" w:eastAsia="宋体" w:cs="宋体"/>
                <w:bCs/>
                <w:caps/>
                <w:highlight w:val="none"/>
              </w:rPr>
            </w:pPr>
          </w:p>
        </w:tc>
      </w:tr>
      <w:tr w14:paraId="223F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722" w:type="dxa"/>
            <w:vMerge w:val="restart"/>
            <w:vAlign w:val="center"/>
          </w:tcPr>
          <w:p w14:paraId="022B48F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被授权人</w:t>
            </w:r>
          </w:p>
        </w:tc>
        <w:tc>
          <w:tcPr>
            <w:tcW w:w="1371" w:type="dxa"/>
            <w:vAlign w:val="center"/>
          </w:tcPr>
          <w:p w14:paraId="6D486D2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姓名</w:t>
            </w:r>
          </w:p>
        </w:tc>
        <w:tc>
          <w:tcPr>
            <w:tcW w:w="2726" w:type="dxa"/>
            <w:gridSpan w:val="3"/>
            <w:vAlign w:val="center"/>
          </w:tcPr>
          <w:p w14:paraId="48C31CE5">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6C00477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923" w:type="dxa"/>
            <w:vAlign w:val="center"/>
          </w:tcPr>
          <w:p w14:paraId="3FBECEBC">
            <w:pPr>
              <w:tabs>
                <w:tab w:val="right" w:leader="dot" w:pos="9022"/>
              </w:tabs>
              <w:autoSpaceDE w:val="0"/>
              <w:autoSpaceDN w:val="0"/>
              <w:adjustRightInd w:val="0"/>
              <w:spacing w:line="480" w:lineRule="exact"/>
              <w:rPr>
                <w:rFonts w:ascii="宋体" w:hAnsi="宋体" w:eastAsia="宋体" w:cs="宋体"/>
                <w:bCs/>
                <w:caps/>
                <w:highlight w:val="none"/>
              </w:rPr>
            </w:pPr>
          </w:p>
        </w:tc>
      </w:tr>
      <w:tr w14:paraId="46DF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722" w:type="dxa"/>
            <w:vMerge w:val="continue"/>
            <w:vAlign w:val="center"/>
          </w:tcPr>
          <w:p w14:paraId="77DCC61B">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E2F12F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职务</w:t>
            </w:r>
          </w:p>
        </w:tc>
        <w:tc>
          <w:tcPr>
            <w:tcW w:w="2726" w:type="dxa"/>
            <w:gridSpan w:val="3"/>
            <w:vAlign w:val="center"/>
          </w:tcPr>
          <w:p w14:paraId="122B78B7">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72275764">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923" w:type="dxa"/>
            <w:vAlign w:val="center"/>
          </w:tcPr>
          <w:p w14:paraId="114287A1">
            <w:pPr>
              <w:tabs>
                <w:tab w:val="right" w:leader="dot" w:pos="9022"/>
              </w:tabs>
              <w:autoSpaceDE w:val="0"/>
              <w:autoSpaceDN w:val="0"/>
              <w:adjustRightInd w:val="0"/>
              <w:spacing w:line="480" w:lineRule="exact"/>
              <w:rPr>
                <w:rFonts w:ascii="宋体" w:hAnsi="宋体" w:eastAsia="宋体" w:cs="宋体"/>
                <w:bCs/>
                <w:caps/>
                <w:highlight w:val="none"/>
              </w:rPr>
            </w:pPr>
          </w:p>
        </w:tc>
      </w:tr>
      <w:tr w14:paraId="2D82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722" w:type="dxa"/>
            <w:vAlign w:val="center"/>
          </w:tcPr>
          <w:p w14:paraId="7968084E">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通讯地址</w:t>
            </w:r>
          </w:p>
        </w:tc>
        <w:tc>
          <w:tcPr>
            <w:tcW w:w="7598" w:type="dxa"/>
            <w:gridSpan w:val="6"/>
            <w:vAlign w:val="center"/>
          </w:tcPr>
          <w:p w14:paraId="04E2971D">
            <w:pPr>
              <w:tabs>
                <w:tab w:val="right" w:leader="dot" w:pos="9022"/>
              </w:tabs>
              <w:autoSpaceDE w:val="0"/>
              <w:autoSpaceDN w:val="0"/>
              <w:adjustRightInd w:val="0"/>
              <w:spacing w:line="480" w:lineRule="exact"/>
              <w:rPr>
                <w:rFonts w:ascii="宋体" w:hAnsi="宋体" w:eastAsia="宋体" w:cs="宋体"/>
                <w:bCs/>
                <w:caps/>
                <w:highlight w:val="none"/>
              </w:rPr>
            </w:pPr>
          </w:p>
        </w:tc>
      </w:tr>
      <w:tr w14:paraId="4C4C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2" w:hRule="atLeast"/>
          <w:jc w:val="center"/>
        </w:trPr>
        <w:tc>
          <w:tcPr>
            <w:tcW w:w="4959" w:type="dxa"/>
            <w:gridSpan w:val="4"/>
            <w:vAlign w:val="center"/>
          </w:tcPr>
          <w:p w14:paraId="28EF6064">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法定代表人身份证复印件正、反面</w:t>
            </w:r>
          </w:p>
        </w:tc>
        <w:tc>
          <w:tcPr>
            <w:tcW w:w="4361" w:type="dxa"/>
            <w:gridSpan w:val="3"/>
            <w:vAlign w:val="center"/>
          </w:tcPr>
          <w:p w14:paraId="32580D78">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被授权人身份证复印件正、反面</w:t>
            </w:r>
          </w:p>
        </w:tc>
      </w:tr>
      <w:bookmarkEnd w:id="91"/>
      <w:bookmarkEnd w:id="92"/>
      <w:bookmarkEnd w:id="93"/>
      <w:bookmarkEnd w:id="94"/>
      <w:bookmarkEnd w:id="95"/>
      <w:bookmarkEnd w:id="96"/>
      <w:bookmarkEnd w:id="97"/>
      <w:bookmarkEnd w:id="98"/>
      <w:bookmarkEnd w:id="99"/>
      <w:bookmarkEnd w:id="100"/>
    </w:tbl>
    <w:p w14:paraId="37264D10">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rPr>
        <w:t>（盖章）</w:t>
      </w:r>
    </w:p>
    <w:p w14:paraId="63A10DFD">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法定代表人或授权代表：</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6F200238">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r>
        <w:rPr>
          <w:rFonts w:hint="eastAsia" w:ascii="宋体" w:hAnsi="宋体" w:eastAsia="宋体" w:cs="宋体"/>
          <w:highlight w:val="none"/>
        </w:rPr>
        <w:br w:type="page"/>
      </w:r>
    </w:p>
    <w:p w14:paraId="0F4C0207">
      <w:pPr>
        <w:rPr>
          <w:rFonts w:ascii="宋体" w:hAnsi="宋体" w:eastAsia="宋体" w:cs="宋体"/>
          <w:b/>
          <w:bCs/>
          <w:sz w:val="28"/>
          <w:szCs w:val="24"/>
          <w:highlight w:val="none"/>
        </w:rPr>
      </w:pPr>
      <w:r>
        <w:rPr>
          <w:rFonts w:hint="eastAsia" w:ascii="宋体" w:hAnsi="宋体" w:eastAsia="宋体" w:cs="宋体"/>
          <w:b/>
          <w:bCs/>
          <w:sz w:val="28"/>
          <w:szCs w:val="24"/>
          <w:highlight w:val="none"/>
        </w:rPr>
        <w:t>三、符合性证明文件</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31990D6B">
      <w:pPr>
        <w:pStyle w:val="57"/>
        <w:spacing w:line="480" w:lineRule="auto"/>
        <w:ind w:firstLine="0" w:firstLineChars="0"/>
        <w:jc w:val="center"/>
        <w:rPr>
          <w:rFonts w:ascii="宋体" w:hAnsi="宋体" w:eastAsia="宋体" w:cs="宋体"/>
          <w:color w:val="000000" w:themeColor="text1"/>
          <w:szCs w:val="21"/>
          <w:highlight w:val="none"/>
          <w14:textFill>
            <w14:solidFill>
              <w14:schemeClr w14:val="tx1"/>
            </w14:solidFill>
          </w14:textFill>
        </w:rPr>
      </w:pPr>
      <w:bookmarkStart w:id="101" w:name="_Toc188808834"/>
      <w:bookmarkStart w:id="102" w:name="_Toc194663919"/>
      <w:bookmarkStart w:id="103" w:name="_Toc193187098"/>
      <w:bookmarkStart w:id="104" w:name="_Toc193126882"/>
      <w:r>
        <w:rPr>
          <w:rFonts w:hint="eastAsia" w:ascii="宋体" w:hAnsi="宋体" w:eastAsia="宋体" w:cs="宋体"/>
          <w:b/>
          <w:color w:val="000000" w:themeColor="text1"/>
          <w:highlight w:val="none"/>
          <w14:textFill>
            <w14:solidFill>
              <w14:schemeClr w14:val="tx1"/>
            </w14:solidFill>
          </w14:textFill>
        </w:rPr>
        <w:t>1.响应函</w:t>
      </w:r>
    </w:p>
    <w:p w14:paraId="0FCE78E8">
      <w:pPr>
        <w:spacing w:line="360" w:lineRule="auto"/>
        <w:ind w:firstLine="472" w:firstLineChars="196"/>
        <w:jc w:val="left"/>
        <w:rPr>
          <w:rFonts w:hint="eastAsia" w:ascii="宋体" w:hAnsi="宋体" w:eastAsia="宋体" w:cs="宋体"/>
          <w:b/>
          <w:color w:val="000000" w:themeColor="text1"/>
          <w:szCs w:val="24"/>
          <w:highlight w:val="none"/>
          <w:lang w:eastAsia="zh-CN"/>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致：</w:t>
      </w:r>
      <w:r>
        <w:rPr>
          <w:rFonts w:hint="eastAsia" w:ascii="宋体" w:hAnsi="宋体" w:eastAsia="宋体" w:cs="宋体"/>
          <w:b/>
          <w:color w:val="000000" w:themeColor="text1"/>
          <w:szCs w:val="24"/>
          <w:highlight w:val="none"/>
          <w:lang w:eastAsia="zh-CN"/>
          <w14:textFill>
            <w14:solidFill>
              <w14:schemeClr w14:val="tx1"/>
            </w14:solidFill>
          </w14:textFill>
        </w:rPr>
        <w:t>华地众信工程项目管理有限公司</w:t>
      </w:r>
    </w:p>
    <w:p w14:paraId="78D41051">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根据贵单位</w:t>
      </w:r>
      <w:r>
        <w:rPr>
          <w:rFonts w:hint="eastAsia" w:ascii="宋体" w:hAnsi="宋体" w:eastAsia="宋体" w:cs="宋体"/>
          <w:color w:val="000000" w:themeColor="text1"/>
          <w:szCs w:val="24"/>
          <w:highlight w:val="none"/>
          <w:u w:val="single"/>
          <w14:textFill>
            <w14:solidFill>
              <w14:schemeClr w14:val="tx1"/>
            </w14:solidFill>
          </w14:textFill>
        </w:rPr>
        <w:t>（项目名称）（项目编号）</w:t>
      </w:r>
      <w:r>
        <w:rPr>
          <w:rFonts w:hint="eastAsia" w:ascii="宋体" w:hAnsi="宋体" w:eastAsia="宋体" w:cs="宋体"/>
          <w:color w:val="000000" w:themeColor="text1"/>
          <w:szCs w:val="24"/>
          <w:highlight w:val="none"/>
          <w14:textFill>
            <w14:solidFill>
              <w14:schemeClr w14:val="tx1"/>
            </w14:solidFill>
          </w14:textFill>
        </w:rPr>
        <w:t>的磋商公告，我方代表</w:t>
      </w:r>
      <w:r>
        <w:rPr>
          <w:rFonts w:hint="eastAsia" w:ascii="宋体" w:hAnsi="宋体" w:eastAsia="宋体" w:cs="宋体"/>
          <w:color w:val="000000" w:themeColor="text1"/>
          <w:szCs w:val="24"/>
          <w:highlight w:val="none"/>
          <w:u w:val="single"/>
          <w14:textFill>
            <w14:solidFill>
              <w14:schemeClr w14:val="tx1"/>
            </w14:solidFill>
          </w14:textFill>
        </w:rPr>
        <w:t>（姓名、职务）</w:t>
      </w:r>
      <w:r>
        <w:rPr>
          <w:rFonts w:hint="eastAsia" w:ascii="宋体" w:hAnsi="宋体" w:eastAsia="宋体" w:cs="宋体"/>
          <w:color w:val="000000" w:themeColor="text1"/>
          <w:szCs w:val="24"/>
          <w:highlight w:val="none"/>
          <w14:textFill>
            <w14:solidFill>
              <w14:schemeClr w14:val="tx1"/>
            </w14:solidFill>
          </w14:textFill>
        </w:rPr>
        <w:t>经正式授权并代表</w:t>
      </w:r>
      <w:r>
        <w:rPr>
          <w:rFonts w:hint="eastAsia" w:ascii="宋体" w:hAnsi="宋体" w:eastAsia="宋体" w:cs="宋体"/>
          <w:color w:val="000000" w:themeColor="text1"/>
          <w:szCs w:val="24"/>
          <w:highlight w:val="none"/>
          <w:u w:val="single"/>
          <w14:textFill>
            <w14:solidFill>
              <w14:schemeClr w14:val="tx1"/>
            </w14:solidFill>
          </w14:textFill>
        </w:rPr>
        <w:t>（供应商名称）</w:t>
      </w:r>
      <w:r>
        <w:rPr>
          <w:rFonts w:hint="eastAsia" w:ascii="宋体" w:hAnsi="宋体" w:eastAsia="宋体" w:cs="宋体"/>
          <w:color w:val="000000" w:themeColor="text1"/>
          <w:szCs w:val="24"/>
          <w:highlight w:val="none"/>
          <w14:textFill>
            <w14:solidFill>
              <w14:schemeClr w14:val="tx1"/>
            </w14:solidFill>
          </w14:textFill>
        </w:rPr>
        <w:t>就该项目进行投标。</w:t>
      </w:r>
    </w:p>
    <w:p w14:paraId="22F2EC2C">
      <w:pPr>
        <w:spacing w:line="360" w:lineRule="auto"/>
        <w:ind w:firstLine="472"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在此，我方郑重声明以下诸点，并负法律责任：</w:t>
      </w:r>
    </w:p>
    <w:p w14:paraId="6C405E35">
      <w:pPr>
        <w:spacing w:line="360" w:lineRule="auto"/>
        <w:ind w:firstLine="480" w:firstLineChars="200"/>
        <w:jc w:val="lef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zh-CN"/>
          <w14:textFill>
            <w14:solidFill>
              <w14:schemeClr w14:val="tx1"/>
            </w14:solidFill>
          </w14:textFill>
        </w:rPr>
        <w:t>按</w:t>
      </w:r>
      <w:r>
        <w:rPr>
          <w:rFonts w:hint="eastAsia" w:ascii="宋体" w:hAnsi="宋体" w:eastAsia="宋体" w:cs="宋体"/>
          <w:color w:val="000000" w:themeColor="text1"/>
          <w:szCs w:val="24"/>
          <w:highlight w:val="none"/>
          <w14:textFill>
            <w14:solidFill>
              <w14:schemeClr w14:val="tx1"/>
            </w14:solidFill>
          </w14:textFill>
        </w:rPr>
        <w:t>采购</w:t>
      </w:r>
      <w:r>
        <w:rPr>
          <w:rFonts w:hint="eastAsia" w:ascii="宋体" w:hAnsi="宋体" w:eastAsia="宋体" w:cs="宋体"/>
          <w:color w:val="000000" w:themeColor="text1"/>
          <w:szCs w:val="24"/>
          <w:highlight w:val="none"/>
          <w:lang w:val="zh-CN"/>
          <w14:textFill>
            <w14:solidFill>
              <w14:schemeClr w14:val="tx1"/>
            </w14:solidFill>
          </w14:textFill>
        </w:rPr>
        <w:t>文件的规定，我公司的</w:t>
      </w:r>
      <w:r>
        <w:rPr>
          <w:rFonts w:hint="eastAsia" w:ascii="宋体" w:hAnsi="宋体" w:eastAsia="宋体" w:cs="宋体"/>
          <w:color w:val="000000" w:themeColor="text1"/>
          <w:szCs w:val="24"/>
          <w:highlight w:val="none"/>
          <w14:textFill>
            <w14:solidFill>
              <w14:schemeClr w14:val="tx1"/>
            </w14:solidFill>
          </w14:textFill>
        </w:rPr>
        <w:t>磋商</w:t>
      </w:r>
      <w:r>
        <w:rPr>
          <w:rFonts w:hint="eastAsia" w:ascii="宋体" w:hAnsi="宋体" w:eastAsia="宋体" w:cs="宋体"/>
          <w:color w:val="000000" w:themeColor="text1"/>
          <w:szCs w:val="24"/>
          <w:highlight w:val="none"/>
          <w:lang w:val="zh-CN"/>
          <w14:textFill>
            <w14:solidFill>
              <w14:schemeClr w14:val="tx1"/>
            </w14:solidFill>
          </w14:textFill>
        </w:rPr>
        <w:t>总报价为：人民币（大写）：</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元）</w:t>
      </w:r>
    </w:p>
    <w:p w14:paraId="5CA2F53F">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2、我方已详细审查全部竞争性磋商文件，完全理解并同意放弃对这方面有不明及误解质疑的权力。</w:t>
      </w:r>
    </w:p>
    <w:p w14:paraId="7713A23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3、我方完全理解并同意竞争性磋商文件中有关没收磋商保证金的条款。</w:t>
      </w:r>
    </w:p>
    <w:p w14:paraId="4B476D3F">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4、我方同意按照要求提供投标有关的一切数据或资料。</w:t>
      </w:r>
    </w:p>
    <w:p w14:paraId="69938588">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5、我方将按竞争性磋商文件的规定履行合同责任和义务。</w:t>
      </w:r>
    </w:p>
    <w:p w14:paraId="0022EA23">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6、我方完全理解最低报价不是中标的唯一条件，采购人有权选择质优价廉的服务。</w:t>
      </w:r>
    </w:p>
    <w:p w14:paraId="458035F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7、我方同意按竞争性磋商文件规定，遵守贵方有关招标的各项规定。</w:t>
      </w:r>
    </w:p>
    <w:p w14:paraId="5BEBB428">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8、若我方中标，我方保证按有关规定向贵方支付</w:t>
      </w:r>
      <w:r>
        <w:rPr>
          <w:rFonts w:hint="eastAsia" w:ascii="宋体" w:hAnsi="宋体" w:eastAsia="宋体" w:cs="宋体"/>
          <w:highlight w:val="none"/>
        </w:rPr>
        <w:t>招标代理服务费</w:t>
      </w:r>
      <w:r>
        <w:rPr>
          <w:rFonts w:hint="eastAsia" w:ascii="宋体" w:hAnsi="宋体" w:eastAsia="宋体" w:cs="宋体"/>
          <w:color w:val="000000" w:themeColor="text1"/>
          <w:szCs w:val="24"/>
          <w:highlight w:val="none"/>
          <w14:textFill>
            <w14:solidFill>
              <w14:schemeClr w14:val="tx1"/>
            </w14:solidFill>
          </w14:textFill>
        </w:rPr>
        <w:t>。</w:t>
      </w:r>
    </w:p>
    <w:p w14:paraId="1E5409D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9、投标有效期为自提交响应文件的截止之日起</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日历天。</w:t>
      </w:r>
    </w:p>
    <w:p w14:paraId="434BFA36">
      <w:pPr>
        <w:spacing w:line="360" w:lineRule="auto"/>
        <w:ind w:firstLine="470" w:firstLineChars="196"/>
        <w:jc w:val="lef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10、所有关于本项目的函电，请按下列地址联系：</w:t>
      </w:r>
    </w:p>
    <w:p w14:paraId="30A0036B">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供应商名称（公章）：</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7412A442">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详 细 地 址：</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07063F4E">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邮 政 编 码：</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23BED9CC">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电       话：</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43BE474D">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传       真：</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p>
    <w:p w14:paraId="34A2BF28">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 子 邮 件：</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6439B0F0">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开 户 银 行：</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5D538AC5">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帐       号：</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b/>
          <w:color w:val="000000" w:themeColor="text1"/>
          <w:highlight w:val="none"/>
          <w14:textFill>
            <w14:solidFill>
              <w14:schemeClr w14:val="tx1"/>
            </w14:solidFill>
          </w14:textFill>
        </w:rPr>
        <w:br w:type="page"/>
      </w:r>
    </w:p>
    <w:p w14:paraId="37DACE15">
      <w:pPr>
        <w:pStyle w:val="57"/>
        <w:spacing w:line="480" w:lineRule="auto"/>
        <w:ind w:firstLine="0" w:firstLineChars="0"/>
        <w:jc w:val="center"/>
        <w:rPr>
          <w:rFonts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2.第一次磋商报价表</w:t>
      </w:r>
    </w:p>
    <w:bookmarkEnd w:id="101"/>
    <w:bookmarkEnd w:id="102"/>
    <w:bookmarkEnd w:id="103"/>
    <w:bookmarkEnd w:id="104"/>
    <w:p w14:paraId="7BBB4075">
      <w:pPr>
        <w:spacing w:line="480" w:lineRule="exact"/>
        <w:rPr>
          <w:rFonts w:ascii="宋体" w:hAnsi="宋体" w:eastAsia="宋体" w:cs="宋体"/>
          <w:bCs/>
          <w:kern w:val="0"/>
          <w:highlight w:val="none"/>
        </w:rPr>
      </w:pPr>
      <w:bookmarkStart w:id="105" w:name="_Toc22781"/>
      <w:bookmarkStart w:id="106" w:name="_Toc128557265"/>
      <w:bookmarkStart w:id="107" w:name="_Toc233435985"/>
      <w:bookmarkStart w:id="108" w:name="_Toc188808840"/>
      <w:bookmarkStart w:id="109" w:name="_Toc193187105"/>
      <w:bookmarkStart w:id="110" w:name="_Toc194663926"/>
      <w:bookmarkStart w:id="111" w:name="_Toc193126889"/>
      <w:r>
        <w:rPr>
          <w:rFonts w:hint="eastAsia" w:ascii="宋体" w:hAnsi="宋体" w:eastAsia="宋体" w:cs="宋体"/>
          <w:bCs/>
          <w:kern w:val="0"/>
          <w:highlight w:val="none"/>
        </w:rPr>
        <w:t>项目名称：</w:t>
      </w:r>
      <w:r>
        <w:rPr>
          <w:rFonts w:hint="eastAsia" w:ascii="宋体" w:hAnsi="宋体" w:eastAsia="宋体" w:cs="宋体"/>
          <w:bCs/>
          <w:kern w:val="0"/>
          <w:highlight w:val="none"/>
          <w:u w:val="single"/>
        </w:rPr>
        <w:t xml:space="preserve">                                          </w:t>
      </w:r>
    </w:p>
    <w:p w14:paraId="31C90705">
      <w:pPr>
        <w:spacing w:line="480" w:lineRule="exact"/>
        <w:rPr>
          <w:rFonts w:ascii="宋体" w:hAnsi="宋体" w:eastAsia="宋体" w:cs="宋体"/>
          <w:bCs/>
          <w:kern w:val="0"/>
          <w:highlight w:val="none"/>
          <w:u w:val="single"/>
        </w:rPr>
      </w:pPr>
      <w:r>
        <w:rPr>
          <w:rFonts w:hint="eastAsia" w:ascii="宋体" w:hAnsi="宋体" w:eastAsia="宋体" w:cs="宋体"/>
          <w:bCs/>
          <w:kern w:val="0"/>
          <w:highlight w:val="none"/>
        </w:rPr>
        <w:t>项目编号：</w:t>
      </w:r>
      <w:r>
        <w:rPr>
          <w:rFonts w:hint="eastAsia" w:ascii="宋体" w:hAnsi="宋体" w:eastAsia="宋体" w:cs="宋体"/>
          <w:bCs/>
          <w:kern w:val="0"/>
          <w:highlight w:val="none"/>
          <w:u w:val="single"/>
        </w:rPr>
        <w:t xml:space="preserve">                                          </w:t>
      </w:r>
    </w:p>
    <w:tbl>
      <w:tblPr>
        <w:tblStyle w:val="37"/>
        <w:tblpPr w:leftFromText="180" w:rightFromText="180" w:vertAnchor="text" w:horzAnchor="page" w:tblpX="1767" w:tblpY="195"/>
        <w:tblOverlap w:val="never"/>
        <w:tblW w:w="484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155"/>
        <w:gridCol w:w="6153"/>
      </w:tblGrid>
      <w:tr w14:paraId="71C9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Align w:val="center"/>
          </w:tcPr>
          <w:p w14:paraId="3853937E">
            <w:pPr>
              <w:spacing w:line="480" w:lineRule="exact"/>
              <w:jc w:val="center"/>
              <w:rPr>
                <w:rFonts w:ascii="宋体" w:hAnsi="宋体" w:eastAsia="宋体" w:cs="宋体"/>
                <w:highlight w:val="none"/>
              </w:rPr>
            </w:pPr>
            <w:r>
              <w:rPr>
                <w:rFonts w:hint="eastAsia" w:ascii="宋体" w:hAnsi="宋体" w:eastAsia="宋体" w:cs="宋体"/>
                <w:highlight w:val="none"/>
              </w:rPr>
              <w:t>1</w:t>
            </w:r>
          </w:p>
        </w:tc>
        <w:tc>
          <w:tcPr>
            <w:tcW w:w="1184" w:type="pct"/>
            <w:vAlign w:val="center"/>
          </w:tcPr>
          <w:p w14:paraId="31E57379">
            <w:pPr>
              <w:spacing w:line="480" w:lineRule="exact"/>
              <w:jc w:val="center"/>
              <w:rPr>
                <w:rFonts w:ascii="宋体" w:hAnsi="宋体" w:eastAsia="宋体" w:cs="宋体"/>
                <w:highlight w:val="none"/>
              </w:rPr>
            </w:pPr>
            <w:r>
              <w:rPr>
                <w:rFonts w:hint="eastAsia" w:ascii="宋体" w:hAnsi="宋体" w:eastAsia="宋体" w:cs="宋体"/>
                <w:highlight w:val="none"/>
              </w:rPr>
              <w:t>供应商名称</w:t>
            </w:r>
          </w:p>
        </w:tc>
        <w:tc>
          <w:tcPr>
            <w:tcW w:w="3381" w:type="pct"/>
            <w:vAlign w:val="center"/>
          </w:tcPr>
          <w:p w14:paraId="1663B6F3">
            <w:pPr>
              <w:spacing w:line="480" w:lineRule="exact"/>
              <w:rPr>
                <w:rFonts w:ascii="宋体" w:hAnsi="宋体" w:eastAsia="宋体" w:cs="宋体"/>
                <w:bCs/>
                <w:highlight w:val="none"/>
              </w:rPr>
            </w:pPr>
          </w:p>
        </w:tc>
      </w:tr>
      <w:tr w14:paraId="019F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Merge w:val="restart"/>
            <w:vAlign w:val="center"/>
          </w:tcPr>
          <w:p w14:paraId="591D57B0">
            <w:pPr>
              <w:spacing w:line="480" w:lineRule="exact"/>
              <w:jc w:val="center"/>
              <w:rPr>
                <w:rFonts w:ascii="宋体" w:hAnsi="宋体" w:eastAsia="宋体" w:cs="宋体"/>
                <w:bCs/>
                <w:highlight w:val="none"/>
              </w:rPr>
            </w:pPr>
            <w:r>
              <w:rPr>
                <w:rFonts w:hint="eastAsia" w:ascii="宋体" w:hAnsi="宋体" w:eastAsia="宋体" w:cs="宋体"/>
                <w:highlight w:val="none"/>
              </w:rPr>
              <w:t>2</w:t>
            </w:r>
          </w:p>
        </w:tc>
        <w:tc>
          <w:tcPr>
            <w:tcW w:w="1184" w:type="pct"/>
            <w:vMerge w:val="restart"/>
            <w:vAlign w:val="center"/>
          </w:tcPr>
          <w:p w14:paraId="67CD936A">
            <w:pPr>
              <w:spacing w:line="480" w:lineRule="exact"/>
              <w:jc w:val="center"/>
              <w:rPr>
                <w:rFonts w:ascii="宋体" w:hAnsi="宋体" w:eastAsia="宋体" w:cs="宋体"/>
                <w:highlight w:val="none"/>
              </w:rPr>
            </w:pPr>
            <w:r>
              <w:rPr>
                <w:rFonts w:hint="eastAsia" w:ascii="宋体" w:hAnsi="宋体" w:eastAsia="宋体" w:cs="宋体"/>
                <w:highlight w:val="none"/>
              </w:rPr>
              <w:t>磋商报价</w:t>
            </w:r>
          </w:p>
          <w:p w14:paraId="51AF85A6">
            <w:pPr>
              <w:spacing w:line="480" w:lineRule="exact"/>
              <w:jc w:val="center"/>
              <w:rPr>
                <w:rFonts w:ascii="宋体" w:hAnsi="宋体" w:eastAsia="宋体" w:cs="宋体"/>
                <w:highlight w:val="none"/>
              </w:rPr>
            </w:pPr>
            <w:r>
              <w:rPr>
                <w:rFonts w:hint="eastAsia" w:ascii="宋体" w:hAnsi="宋体" w:eastAsia="宋体" w:cs="宋体"/>
                <w:highlight w:val="none"/>
              </w:rPr>
              <w:t>（元）</w:t>
            </w:r>
          </w:p>
        </w:tc>
        <w:tc>
          <w:tcPr>
            <w:tcW w:w="3381" w:type="pct"/>
            <w:vAlign w:val="center"/>
          </w:tcPr>
          <w:p w14:paraId="7690BBB2">
            <w:pPr>
              <w:spacing w:line="480" w:lineRule="exact"/>
              <w:rPr>
                <w:rFonts w:ascii="宋体" w:hAnsi="宋体" w:eastAsia="宋体" w:cs="宋体"/>
                <w:bCs/>
                <w:highlight w:val="none"/>
              </w:rPr>
            </w:pPr>
            <w:r>
              <w:rPr>
                <w:rFonts w:hint="eastAsia" w:ascii="宋体" w:hAnsi="宋体" w:eastAsia="宋体" w:cs="宋体"/>
                <w:bCs/>
                <w:highlight w:val="none"/>
              </w:rPr>
              <w:t>大 写：</w:t>
            </w:r>
          </w:p>
        </w:tc>
      </w:tr>
      <w:tr w14:paraId="0F92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Merge w:val="continue"/>
            <w:vAlign w:val="center"/>
          </w:tcPr>
          <w:p w14:paraId="52E4E0E0">
            <w:pPr>
              <w:spacing w:line="480" w:lineRule="exact"/>
              <w:jc w:val="center"/>
              <w:rPr>
                <w:rFonts w:ascii="宋体" w:hAnsi="宋体" w:eastAsia="宋体" w:cs="宋体"/>
                <w:bCs/>
                <w:highlight w:val="none"/>
              </w:rPr>
            </w:pPr>
          </w:p>
        </w:tc>
        <w:tc>
          <w:tcPr>
            <w:tcW w:w="1184" w:type="pct"/>
            <w:vMerge w:val="continue"/>
            <w:vAlign w:val="center"/>
          </w:tcPr>
          <w:p w14:paraId="51C14AE8">
            <w:pPr>
              <w:spacing w:line="480" w:lineRule="exact"/>
              <w:jc w:val="center"/>
              <w:rPr>
                <w:rFonts w:ascii="宋体" w:hAnsi="宋体" w:eastAsia="宋体" w:cs="宋体"/>
                <w:bCs/>
                <w:highlight w:val="none"/>
              </w:rPr>
            </w:pPr>
          </w:p>
        </w:tc>
        <w:tc>
          <w:tcPr>
            <w:tcW w:w="3381" w:type="pct"/>
            <w:vAlign w:val="center"/>
          </w:tcPr>
          <w:p w14:paraId="0659EFC9">
            <w:pPr>
              <w:spacing w:line="480" w:lineRule="exact"/>
              <w:rPr>
                <w:rFonts w:ascii="宋体" w:hAnsi="宋体" w:eastAsia="宋体" w:cs="宋体"/>
                <w:bCs/>
                <w:highlight w:val="none"/>
              </w:rPr>
            </w:pPr>
            <w:r>
              <w:rPr>
                <w:rFonts w:hint="eastAsia" w:ascii="宋体" w:hAnsi="宋体" w:eastAsia="宋体" w:cs="宋体"/>
                <w:bCs/>
                <w:highlight w:val="none"/>
              </w:rPr>
              <w:t>小 写：</w:t>
            </w:r>
          </w:p>
        </w:tc>
      </w:tr>
      <w:tr w14:paraId="34D7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Align w:val="center"/>
          </w:tcPr>
          <w:p w14:paraId="46D0EFCE">
            <w:pPr>
              <w:spacing w:line="480" w:lineRule="exact"/>
              <w:jc w:val="center"/>
              <w:rPr>
                <w:rFonts w:ascii="宋体" w:hAnsi="宋体" w:eastAsia="宋体" w:cs="宋体"/>
                <w:highlight w:val="none"/>
              </w:rPr>
            </w:pPr>
            <w:r>
              <w:rPr>
                <w:rFonts w:hint="eastAsia" w:ascii="宋体" w:hAnsi="宋体" w:eastAsia="宋体" w:cs="宋体"/>
                <w:highlight w:val="none"/>
              </w:rPr>
              <w:t>3</w:t>
            </w:r>
          </w:p>
        </w:tc>
        <w:tc>
          <w:tcPr>
            <w:tcW w:w="1184" w:type="pct"/>
            <w:vAlign w:val="center"/>
          </w:tcPr>
          <w:p w14:paraId="7F18FE7B">
            <w:pPr>
              <w:spacing w:line="480" w:lineRule="exact"/>
              <w:jc w:val="center"/>
              <w:rPr>
                <w:rFonts w:ascii="宋体" w:hAnsi="宋体" w:eastAsia="宋体" w:cs="宋体"/>
                <w:highlight w:val="none"/>
              </w:rPr>
            </w:pPr>
            <w:r>
              <w:rPr>
                <w:rFonts w:hint="eastAsia" w:ascii="宋体" w:hAnsi="宋体" w:eastAsia="宋体" w:cs="宋体"/>
                <w:highlight w:val="none"/>
              </w:rPr>
              <w:t>服务期限</w:t>
            </w:r>
          </w:p>
        </w:tc>
        <w:tc>
          <w:tcPr>
            <w:tcW w:w="3381" w:type="pct"/>
            <w:vAlign w:val="center"/>
          </w:tcPr>
          <w:p w14:paraId="533B0CA2">
            <w:pPr>
              <w:spacing w:line="480" w:lineRule="exact"/>
              <w:rPr>
                <w:rFonts w:ascii="宋体" w:hAnsi="宋体" w:eastAsia="宋体" w:cs="宋体"/>
                <w:highlight w:val="none"/>
              </w:rPr>
            </w:pPr>
          </w:p>
        </w:tc>
      </w:tr>
      <w:tr w14:paraId="5BA7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Merge w:val="restart"/>
            <w:vAlign w:val="center"/>
          </w:tcPr>
          <w:p w14:paraId="77F76D8D">
            <w:pPr>
              <w:spacing w:line="480" w:lineRule="exact"/>
              <w:jc w:val="center"/>
              <w:rPr>
                <w:rFonts w:ascii="宋体" w:hAnsi="宋体" w:eastAsia="宋体" w:cs="宋体"/>
                <w:highlight w:val="none"/>
              </w:rPr>
            </w:pPr>
            <w:r>
              <w:rPr>
                <w:rFonts w:hint="eastAsia" w:ascii="宋体" w:hAnsi="宋体" w:eastAsia="宋体" w:cs="宋体"/>
                <w:highlight w:val="none"/>
              </w:rPr>
              <w:t>4</w:t>
            </w:r>
          </w:p>
        </w:tc>
        <w:tc>
          <w:tcPr>
            <w:tcW w:w="1184" w:type="pct"/>
            <w:vMerge w:val="restart"/>
            <w:vAlign w:val="center"/>
          </w:tcPr>
          <w:p w14:paraId="21E4FF4E">
            <w:pPr>
              <w:spacing w:line="480" w:lineRule="exact"/>
              <w:jc w:val="center"/>
              <w:rPr>
                <w:rFonts w:ascii="宋体" w:hAnsi="宋体" w:eastAsia="宋体" w:cs="宋体"/>
                <w:highlight w:val="none"/>
              </w:rPr>
            </w:pPr>
            <w:r>
              <w:rPr>
                <w:rFonts w:hint="eastAsia" w:ascii="宋体" w:hAnsi="宋体" w:eastAsia="宋体" w:cs="宋体"/>
                <w:highlight w:val="none"/>
              </w:rPr>
              <w:t>质量标准</w:t>
            </w:r>
          </w:p>
        </w:tc>
        <w:tc>
          <w:tcPr>
            <w:tcW w:w="3381" w:type="pct"/>
            <w:vAlign w:val="center"/>
          </w:tcPr>
          <w:p w14:paraId="15C92AFB">
            <w:pPr>
              <w:spacing w:line="480" w:lineRule="exact"/>
              <w:jc w:val="left"/>
              <w:rPr>
                <w:rFonts w:ascii="宋体" w:hAnsi="宋体" w:eastAsia="宋体" w:cs="宋体"/>
                <w:highlight w:val="none"/>
                <w:u w:val="single"/>
              </w:rPr>
            </w:pPr>
          </w:p>
        </w:tc>
      </w:tr>
      <w:tr w14:paraId="6A8CE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Merge w:val="continue"/>
            <w:vAlign w:val="center"/>
          </w:tcPr>
          <w:p w14:paraId="07F3F221">
            <w:pPr>
              <w:spacing w:line="480" w:lineRule="exact"/>
              <w:jc w:val="center"/>
              <w:rPr>
                <w:rFonts w:ascii="宋体" w:hAnsi="宋体" w:eastAsia="宋体" w:cs="宋体"/>
                <w:highlight w:val="none"/>
              </w:rPr>
            </w:pPr>
          </w:p>
        </w:tc>
        <w:tc>
          <w:tcPr>
            <w:tcW w:w="1184" w:type="pct"/>
            <w:vMerge w:val="continue"/>
            <w:vAlign w:val="center"/>
          </w:tcPr>
          <w:p w14:paraId="28466D16">
            <w:pPr>
              <w:spacing w:line="480" w:lineRule="exact"/>
              <w:jc w:val="center"/>
              <w:rPr>
                <w:rFonts w:ascii="宋体" w:hAnsi="宋体" w:eastAsia="宋体" w:cs="宋体"/>
                <w:highlight w:val="none"/>
              </w:rPr>
            </w:pPr>
          </w:p>
        </w:tc>
        <w:tc>
          <w:tcPr>
            <w:tcW w:w="3381" w:type="pct"/>
            <w:vAlign w:val="center"/>
          </w:tcPr>
          <w:p w14:paraId="147E2F7C">
            <w:pPr>
              <w:spacing w:line="480" w:lineRule="exact"/>
              <w:jc w:val="left"/>
              <w:rPr>
                <w:rFonts w:ascii="宋体" w:hAnsi="宋体" w:eastAsia="宋体" w:cs="宋体"/>
                <w:highlight w:val="none"/>
                <w:u w:val="single"/>
              </w:rPr>
            </w:pPr>
          </w:p>
        </w:tc>
      </w:tr>
      <w:tr w14:paraId="1289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434" w:type="pct"/>
            <w:tcBorders>
              <w:bottom w:val="single" w:color="auto" w:sz="4" w:space="0"/>
            </w:tcBorders>
            <w:vAlign w:val="center"/>
          </w:tcPr>
          <w:p w14:paraId="044B6754">
            <w:pPr>
              <w:kinsoku w:val="0"/>
              <w:spacing w:line="480" w:lineRule="exact"/>
              <w:jc w:val="center"/>
              <w:rPr>
                <w:rFonts w:ascii="宋体" w:hAnsi="宋体" w:eastAsia="宋体" w:cs="宋体"/>
                <w:b/>
                <w:highlight w:val="none"/>
              </w:rPr>
            </w:pPr>
            <w:r>
              <w:rPr>
                <w:rFonts w:hint="eastAsia" w:ascii="宋体" w:hAnsi="宋体" w:eastAsia="宋体" w:cs="宋体"/>
                <w:bCs/>
                <w:highlight w:val="none"/>
              </w:rPr>
              <w:t>5</w:t>
            </w:r>
          </w:p>
        </w:tc>
        <w:tc>
          <w:tcPr>
            <w:tcW w:w="4565" w:type="pct"/>
            <w:gridSpan w:val="2"/>
            <w:tcBorders>
              <w:bottom w:val="single" w:color="auto" w:sz="4" w:space="0"/>
            </w:tcBorders>
            <w:vAlign w:val="center"/>
          </w:tcPr>
          <w:p w14:paraId="67F99F6F">
            <w:pPr>
              <w:kinsoku w:val="0"/>
              <w:spacing w:line="480" w:lineRule="exact"/>
              <w:rPr>
                <w:rFonts w:ascii="宋体" w:hAnsi="宋体" w:eastAsia="宋体" w:cs="宋体"/>
                <w:highlight w:val="none"/>
              </w:rPr>
            </w:pPr>
            <w:r>
              <w:rPr>
                <w:rFonts w:hint="eastAsia" w:ascii="宋体" w:hAnsi="宋体" w:eastAsia="宋体" w:cs="宋体"/>
                <w:b/>
                <w:highlight w:val="none"/>
              </w:rPr>
              <w:t>备注：精确到小数点后两位，大小写不一致时，以大写为准。</w:t>
            </w:r>
          </w:p>
        </w:tc>
      </w:tr>
    </w:tbl>
    <w:p w14:paraId="6524B961">
      <w:pPr>
        <w:spacing w:line="480" w:lineRule="exact"/>
        <w:rPr>
          <w:rFonts w:hint="eastAsia" w:ascii="宋体" w:hAnsi="宋体" w:eastAsia="宋体" w:cs="宋体"/>
          <w:bCs/>
          <w:kern w:val="0"/>
          <w:highlight w:val="none"/>
        </w:rPr>
      </w:pPr>
      <w:r>
        <w:rPr>
          <w:rFonts w:hint="eastAsia" w:ascii="宋体" w:hAnsi="宋体" w:eastAsia="宋体" w:cs="宋体"/>
          <w:bCs/>
          <w:kern w:val="0"/>
          <w:highlight w:val="none"/>
        </w:rPr>
        <w:t>注：1、本表价格应按总价填写，同时应保证磋商响应文件的正、副本中仍有此表且一致。</w:t>
      </w:r>
    </w:p>
    <w:p w14:paraId="443FB867">
      <w:pPr>
        <w:spacing w:line="480" w:lineRule="exact"/>
        <w:ind w:firstLine="480" w:firstLineChars="200"/>
        <w:rPr>
          <w:rFonts w:hint="eastAsia" w:ascii="宋体" w:hAnsi="宋体" w:eastAsia="宋体" w:cs="宋体"/>
          <w:bCs/>
          <w:kern w:val="0"/>
          <w:highlight w:val="none"/>
        </w:rPr>
      </w:pPr>
      <w:r>
        <w:rPr>
          <w:rFonts w:hint="eastAsia" w:ascii="宋体" w:hAnsi="宋体" w:eastAsia="宋体" w:cs="宋体"/>
          <w:bCs/>
          <w:kern w:val="0"/>
          <w:highlight w:val="none"/>
          <w:lang w:val="en-US" w:eastAsia="zh-CN"/>
        </w:rPr>
        <w:t>2、</w:t>
      </w:r>
      <w:r>
        <w:rPr>
          <w:rFonts w:hint="eastAsia" w:ascii="宋体" w:hAnsi="宋体" w:eastAsia="宋体" w:cs="宋体"/>
          <w:bCs/>
          <w:kern w:val="0"/>
          <w:highlight w:val="none"/>
        </w:rPr>
        <w:t>此表必须如实填写，如若中标（成交），本表的报价将作为实际履约内容的结算单项价格，每户不超过</w:t>
      </w:r>
      <w:r>
        <w:rPr>
          <w:rFonts w:hint="eastAsia" w:ascii="宋体" w:hAnsi="宋体" w:eastAsia="宋体" w:cs="宋体"/>
          <w:bCs/>
          <w:kern w:val="0"/>
          <w:highlight w:val="none"/>
          <w:lang w:val="en-US" w:eastAsia="zh-CN"/>
        </w:rPr>
        <w:t>3</w:t>
      </w:r>
      <w:r>
        <w:rPr>
          <w:rFonts w:hint="eastAsia" w:ascii="宋体" w:hAnsi="宋体" w:eastAsia="宋体" w:cs="宋体"/>
          <w:bCs/>
          <w:kern w:val="0"/>
          <w:highlight w:val="none"/>
        </w:rPr>
        <w:t>000</w:t>
      </w:r>
      <w:r>
        <w:rPr>
          <w:rFonts w:hint="eastAsia" w:ascii="宋体" w:hAnsi="宋体" w:eastAsia="宋体" w:cs="宋体"/>
          <w:bCs/>
          <w:kern w:val="0"/>
          <w:highlight w:val="none"/>
          <w:lang w:val="en-US" w:eastAsia="zh-CN"/>
        </w:rPr>
        <w:t>.00</w:t>
      </w:r>
      <w:r>
        <w:rPr>
          <w:rFonts w:hint="eastAsia" w:ascii="宋体" w:hAnsi="宋体" w:eastAsia="宋体" w:cs="宋体"/>
          <w:bCs/>
          <w:kern w:val="0"/>
          <w:highlight w:val="none"/>
        </w:rPr>
        <w:t>元。</w:t>
      </w:r>
    </w:p>
    <w:p w14:paraId="34726D4D">
      <w:pPr>
        <w:spacing w:line="480" w:lineRule="exact"/>
        <w:ind w:firstLine="480" w:firstLineChars="200"/>
        <w:rPr>
          <w:rFonts w:ascii="宋体" w:hAnsi="宋体" w:eastAsia="宋体" w:cs="宋体"/>
          <w:bCs/>
          <w:kern w:val="0"/>
          <w:highlight w:val="none"/>
        </w:rPr>
      </w:pPr>
      <w:r>
        <w:rPr>
          <w:rFonts w:hint="eastAsia" w:ascii="宋体" w:hAnsi="宋体" w:eastAsia="宋体" w:cs="宋体"/>
          <w:bCs/>
          <w:kern w:val="0"/>
          <w:highlight w:val="none"/>
          <w:lang w:val="en-US" w:eastAsia="zh-CN"/>
        </w:rPr>
        <w:t>3</w:t>
      </w:r>
      <w:r>
        <w:rPr>
          <w:rFonts w:hint="eastAsia" w:ascii="宋体" w:hAnsi="宋体" w:eastAsia="宋体" w:cs="宋体"/>
          <w:bCs/>
          <w:kern w:val="0"/>
          <w:highlight w:val="none"/>
        </w:rPr>
        <w:t>、报价精确到小数点后两位。</w:t>
      </w:r>
    </w:p>
    <w:p w14:paraId="355AB44C">
      <w:pPr>
        <w:spacing w:line="480" w:lineRule="exact"/>
        <w:rPr>
          <w:rFonts w:ascii="宋体" w:hAnsi="宋体" w:eastAsia="宋体" w:cs="宋体"/>
          <w:bCs/>
          <w:kern w:val="0"/>
          <w:highlight w:val="none"/>
        </w:rPr>
      </w:pPr>
    </w:p>
    <w:p w14:paraId="4B664578">
      <w:pPr>
        <w:spacing w:line="480" w:lineRule="exact"/>
        <w:rPr>
          <w:rFonts w:ascii="宋体" w:hAnsi="宋体" w:eastAsia="宋体" w:cs="宋体"/>
          <w:bCs/>
          <w:kern w:val="0"/>
          <w:highlight w:val="none"/>
        </w:rPr>
      </w:pPr>
    </w:p>
    <w:p w14:paraId="2579477C">
      <w:pPr>
        <w:spacing w:line="480" w:lineRule="exact"/>
        <w:rPr>
          <w:rFonts w:ascii="宋体" w:hAnsi="宋体" w:eastAsia="宋体" w:cs="宋体"/>
          <w:bCs/>
          <w:kern w:val="0"/>
          <w:highlight w:val="none"/>
        </w:rPr>
      </w:pPr>
      <w:r>
        <w:rPr>
          <w:rFonts w:hint="eastAsia" w:ascii="宋体" w:hAnsi="宋体" w:eastAsia="宋体" w:cs="宋体"/>
          <w:bCs/>
          <w:kern w:val="0"/>
          <w:highlight w:val="none"/>
        </w:rPr>
        <w:t>供应商名称：</w:t>
      </w:r>
      <w:r>
        <w:rPr>
          <w:rFonts w:hint="eastAsia" w:ascii="宋体" w:hAnsi="宋体" w:eastAsia="宋体" w:cs="宋体"/>
          <w:bCs/>
          <w:kern w:val="0"/>
          <w:highlight w:val="none"/>
          <w:u w:val="single"/>
        </w:rPr>
        <w:t xml:space="preserve">                             </w:t>
      </w:r>
      <w:r>
        <w:rPr>
          <w:rFonts w:hint="eastAsia" w:ascii="宋体" w:hAnsi="宋体" w:eastAsia="宋体" w:cs="宋体"/>
          <w:bCs/>
          <w:kern w:val="0"/>
          <w:highlight w:val="none"/>
        </w:rPr>
        <w:t>（盖章）</w:t>
      </w:r>
    </w:p>
    <w:p w14:paraId="4E7B1614">
      <w:pPr>
        <w:spacing w:line="480" w:lineRule="exact"/>
        <w:rPr>
          <w:rFonts w:ascii="宋体" w:hAnsi="宋体" w:eastAsia="宋体" w:cs="宋体"/>
          <w:bCs/>
          <w:kern w:val="0"/>
          <w:highlight w:val="none"/>
        </w:rPr>
      </w:pPr>
      <w:r>
        <w:rPr>
          <w:rFonts w:hint="eastAsia" w:ascii="宋体" w:hAnsi="宋体" w:eastAsia="宋体" w:cs="宋体"/>
          <w:bCs/>
          <w:kern w:val="0"/>
          <w:highlight w:val="none"/>
        </w:rPr>
        <w:t>法定代表人或授权代表：</w:t>
      </w:r>
      <w:r>
        <w:rPr>
          <w:rFonts w:hint="eastAsia" w:ascii="宋体" w:hAnsi="宋体" w:eastAsia="宋体" w:cs="宋体"/>
          <w:bCs/>
          <w:kern w:val="0"/>
          <w:highlight w:val="none"/>
          <w:u w:val="single"/>
        </w:rPr>
        <w:t xml:space="preserve">            </w:t>
      </w:r>
      <w:r>
        <w:rPr>
          <w:rFonts w:hint="eastAsia" w:ascii="宋体" w:hAnsi="宋体" w:eastAsia="宋体" w:cs="宋体"/>
          <w:highlight w:val="none"/>
        </w:rPr>
        <w:t>（签字或盖章）</w:t>
      </w:r>
    </w:p>
    <w:p w14:paraId="1933B7CD">
      <w:pPr>
        <w:spacing w:line="480" w:lineRule="exact"/>
        <w:rPr>
          <w:rFonts w:ascii="宋体" w:hAnsi="宋体" w:eastAsia="宋体" w:cs="宋体"/>
          <w:bCs/>
          <w:kern w:val="0"/>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26468134">
      <w:pPr>
        <w:pStyle w:val="22"/>
        <w:spacing w:line="480" w:lineRule="exact"/>
        <w:rPr>
          <w:rFonts w:ascii="宋体" w:hAnsi="宋体" w:cs="宋体"/>
          <w:highlight w:val="none"/>
        </w:rPr>
      </w:pPr>
    </w:p>
    <w:p w14:paraId="5FBA8B33">
      <w:pPr>
        <w:rPr>
          <w:rFonts w:ascii="宋体" w:hAnsi="宋体" w:eastAsia="宋体" w:cs="宋体"/>
          <w:sz w:val="28"/>
          <w:szCs w:val="28"/>
          <w:highlight w:val="none"/>
        </w:rPr>
      </w:pPr>
      <w:r>
        <w:rPr>
          <w:rFonts w:hint="eastAsia" w:ascii="宋体" w:hAnsi="宋体" w:eastAsia="宋体" w:cs="宋体"/>
          <w:sz w:val="28"/>
          <w:szCs w:val="28"/>
          <w:highlight w:val="none"/>
        </w:rPr>
        <w:br w:type="page"/>
      </w:r>
    </w:p>
    <w:p w14:paraId="513348B7">
      <w:pPr>
        <w:pStyle w:val="57"/>
        <w:spacing w:line="480" w:lineRule="auto"/>
        <w:ind w:firstLine="0" w:firstLineChars="0"/>
        <w:jc w:val="center"/>
        <w:rPr>
          <w:rFonts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分项报价表</w:t>
      </w:r>
    </w:p>
    <w:p w14:paraId="216ACB41">
      <w:pPr>
        <w:spacing w:line="480" w:lineRule="exact"/>
        <w:ind w:firstLine="480" w:firstLineChars="200"/>
        <w:rPr>
          <w:rFonts w:ascii="宋体" w:hAnsi="宋体" w:eastAsia="宋体" w:cs="宋体"/>
          <w:bCs/>
          <w:kern w:val="0"/>
          <w:highlight w:val="none"/>
        </w:rPr>
      </w:pPr>
      <w:r>
        <w:rPr>
          <w:rFonts w:hint="eastAsia" w:ascii="宋体" w:hAnsi="宋体" w:eastAsia="宋体" w:cs="宋体"/>
          <w:bCs/>
          <w:kern w:val="0"/>
          <w:highlight w:val="none"/>
        </w:rPr>
        <w:t>项目名称：</w:t>
      </w:r>
      <w:r>
        <w:rPr>
          <w:rFonts w:hint="eastAsia" w:ascii="宋体" w:hAnsi="宋体" w:eastAsia="宋体" w:cs="宋体"/>
          <w:bCs/>
          <w:kern w:val="0"/>
          <w:highlight w:val="none"/>
          <w:u w:val="single"/>
        </w:rPr>
        <w:t xml:space="preserve">                                          </w:t>
      </w:r>
    </w:p>
    <w:p w14:paraId="56EDF990">
      <w:pPr>
        <w:spacing w:line="480" w:lineRule="exact"/>
        <w:ind w:firstLine="480" w:firstLineChars="200"/>
        <w:rPr>
          <w:rFonts w:ascii="宋体" w:hAnsi="宋体" w:eastAsia="宋体" w:cs="宋体"/>
          <w:bCs/>
          <w:kern w:val="0"/>
          <w:highlight w:val="none"/>
          <w:u w:val="single"/>
        </w:rPr>
      </w:pPr>
      <w:r>
        <w:rPr>
          <w:rFonts w:hint="eastAsia" w:ascii="宋体" w:hAnsi="宋体" w:eastAsia="宋体" w:cs="宋体"/>
          <w:bCs/>
          <w:kern w:val="0"/>
          <w:highlight w:val="none"/>
        </w:rPr>
        <w:t>项目编号：</w:t>
      </w:r>
      <w:r>
        <w:rPr>
          <w:rFonts w:hint="eastAsia" w:ascii="宋体" w:hAnsi="宋体" w:eastAsia="宋体" w:cs="宋体"/>
          <w:bCs/>
          <w:kern w:val="0"/>
          <w:highlight w:val="none"/>
          <w:u w:val="single"/>
        </w:rPr>
        <w:t xml:space="preserve">                                          </w:t>
      </w:r>
    </w:p>
    <w:tbl>
      <w:tblPr>
        <w:tblStyle w:val="37"/>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1347"/>
        <w:gridCol w:w="909"/>
        <w:gridCol w:w="2094"/>
        <w:gridCol w:w="962"/>
        <w:gridCol w:w="827"/>
        <w:gridCol w:w="1299"/>
        <w:gridCol w:w="913"/>
      </w:tblGrid>
      <w:tr w14:paraId="03D5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784" w:type="dxa"/>
            <w:vAlign w:val="center"/>
          </w:tcPr>
          <w:p w14:paraId="3413CF8B">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序号</w:t>
            </w:r>
          </w:p>
        </w:tc>
        <w:tc>
          <w:tcPr>
            <w:tcW w:w="1347" w:type="dxa"/>
            <w:vAlign w:val="center"/>
          </w:tcPr>
          <w:p w14:paraId="6C0012C8">
            <w:pPr>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类别</w:t>
            </w:r>
          </w:p>
        </w:tc>
        <w:tc>
          <w:tcPr>
            <w:tcW w:w="909" w:type="dxa"/>
            <w:vAlign w:val="center"/>
          </w:tcPr>
          <w:p w14:paraId="51DC9518">
            <w:pPr>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项目名称</w:t>
            </w:r>
          </w:p>
        </w:tc>
        <w:tc>
          <w:tcPr>
            <w:tcW w:w="2094" w:type="dxa"/>
            <w:vAlign w:val="center"/>
          </w:tcPr>
          <w:p w14:paraId="6FE7BFD3">
            <w:pPr>
              <w:jc w:val="center"/>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14:textFill>
                  <w14:solidFill>
                    <w14:schemeClr w14:val="tx1"/>
                  </w14:solidFill>
                </w14:textFill>
              </w:rPr>
              <w:t>服务内容</w:t>
            </w:r>
          </w:p>
        </w:tc>
        <w:tc>
          <w:tcPr>
            <w:tcW w:w="962" w:type="dxa"/>
            <w:vAlign w:val="center"/>
          </w:tcPr>
          <w:p w14:paraId="68441427">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单位</w:t>
            </w:r>
          </w:p>
        </w:tc>
        <w:tc>
          <w:tcPr>
            <w:tcW w:w="827" w:type="dxa"/>
            <w:vAlign w:val="center"/>
          </w:tcPr>
          <w:p w14:paraId="33B68CB8">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数量</w:t>
            </w:r>
          </w:p>
        </w:tc>
        <w:tc>
          <w:tcPr>
            <w:tcW w:w="1299" w:type="dxa"/>
            <w:vAlign w:val="center"/>
          </w:tcPr>
          <w:p w14:paraId="6FE7045B">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综合单价</w:t>
            </w:r>
            <w:r>
              <w:rPr>
                <w:rFonts w:hAnsi="宋体"/>
                <w:color w:val="000000" w:themeColor="text1"/>
                <w:sz w:val="21"/>
                <w:szCs w:val="21"/>
                <w14:textFill>
                  <w14:solidFill>
                    <w14:schemeClr w14:val="tx1"/>
                  </w14:solidFill>
                </w14:textFill>
              </w:rPr>
              <w:t>(</w:t>
            </w:r>
            <w:r>
              <w:rPr>
                <w:rFonts w:hint="eastAsia" w:hAnsi="宋体"/>
                <w:color w:val="000000" w:themeColor="text1"/>
                <w:sz w:val="21"/>
                <w:szCs w:val="21"/>
                <w14:textFill>
                  <w14:solidFill>
                    <w14:schemeClr w14:val="tx1"/>
                  </w14:solidFill>
                </w14:textFill>
              </w:rPr>
              <w:t>元</w:t>
            </w:r>
            <w:r>
              <w:rPr>
                <w:rFonts w:hAnsi="宋体"/>
                <w:color w:val="000000" w:themeColor="text1"/>
                <w:sz w:val="21"/>
                <w:szCs w:val="21"/>
                <w14:textFill>
                  <w14:solidFill>
                    <w14:schemeClr w14:val="tx1"/>
                  </w14:solidFill>
                </w14:textFill>
              </w:rPr>
              <w:t>)</w:t>
            </w:r>
          </w:p>
        </w:tc>
        <w:tc>
          <w:tcPr>
            <w:tcW w:w="913" w:type="dxa"/>
            <w:vAlign w:val="center"/>
          </w:tcPr>
          <w:p w14:paraId="701BA70F">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小计</w:t>
            </w:r>
            <w:r>
              <w:rPr>
                <w:rFonts w:hAnsi="宋体"/>
                <w:color w:val="000000" w:themeColor="text1"/>
                <w:sz w:val="21"/>
                <w:szCs w:val="21"/>
                <w14:textFill>
                  <w14:solidFill>
                    <w14:schemeClr w14:val="tx1"/>
                  </w14:solidFill>
                </w14:textFill>
              </w:rPr>
              <w:t>(</w:t>
            </w:r>
            <w:r>
              <w:rPr>
                <w:rFonts w:hint="eastAsia" w:hAnsi="宋体"/>
                <w:color w:val="000000" w:themeColor="text1"/>
                <w:sz w:val="21"/>
                <w:szCs w:val="21"/>
                <w14:textFill>
                  <w14:solidFill>
                    <w14:schemeClr w14:val="tx1"/>
                  </w14:solidFill>
                </w14:textFill>
              </w:rPr>
              <w:t>元</w:t>
            </w:r>
            <w:r>
              <w:rPr>
                <w:rFonts w:hAnsi="宋体"/>
                <w:color w:val="000000" w:themeColor="text1"/>
                <w:sz w:val="21"/>
                <w:szCs w:val="21"/>
                <w14:textFill>
                  <w14:solidFill>
                    <w14:schemeClr w14:val="tx1"/>
                  </w14:solidFill>
                </w14:textFill>
              </w:rPr>
              <w:t>)</w:t>
            </w:r>
          </w:p>
        </w:tc>
      </w:tr>
      <w:tr w14:paraId="0720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784" w:type="dxa"/>
            <w:vAlign w:val="center"/>
          </w:tcPr>
          <w:p w14:paraId="3868C5F9">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w:t>
            </w:r>
          </w:p>
        </w:tc>
        <w:tc>
          <w:tcPr>
            <w:tcW w:w="1347" w:type="dxa"/>
            <w:vAlign w:val="center"/>
          </w:tcPr>
          <w:p w14:paraId="7AF0DFBD">
            <w:pPr>
              <w:jc w:val="center"/>
              <w:rPr>
                <w:rFonts w:ascii="宋体" w:hAnsi="宋体"/>
                <w:color w:val="000000" w:themeColor="text1"/>
                <w:sz w:val="21"/>
                <w:szCs w:val="21"/>
                <w14:textFill>
                  <w14:solidFill>
                    <w14:schemeClr w14:val="tx1"/>
                  </w14:solidFill>
                </w14:textFill>
              </w:rPr>
            </w:pPr>
          </w:p>
        </w:tc>
        <w:tc>
          <w:tcPr>
            <w:tcW w:w="909" w:type="dxa"/>
            <w:vAlign w:val="center"/>
          </w:tcPr>
          <w:p w14:paraId="7931591E">
            <w:pPr>
              <w:jc w:val="center"/>
              <w:rPr>
                <w:rFonts w:ascii="宋体" w:hAnsi="宋体"/>
                <w:color w:val="000000" w:themeColor="text1"/>
                <w:sz w:val="21"/>
                <w:szCs w:val="21"/>
                <w14:textFill>
                  <w14:solidFill>
                    <w14:schemeClr w14:val="tx1"/>
                  </w14:solidFill>
                </w14:textFill>
              </w:rPr>
            </w:pPr>
          </w:p>
        </w:tc>
        <w:tc>
          <w:tcPr>
            <w:tcW w:w="2094" w:type="dxa"/>
            <w:vAlign w:val="center"/>
          </w:tcPr>
          <w:p w14:paraId="581A1D7C">
            <w:pPr>
              <w:jc w:val="center"/>
              <w:rPr>
                <w:rFonts w:ascii="宋体" w:hAnsi="宋体"/>
                <w:color w:val="000000" w:themeColor="text1"/>
                <w:sz w:val="21"/>
                <w:szCs w:val="21"/>
                <w14:textFill>
                  <w14:solidFill>
                    <w14:schemeClr w14:val="tx1"/>
                  </w14:solidFill>
                </w14:textFill>
              </w:rPr>
            </w:pPr>
          </w:p>
        </w:tc>
        <w:tc>
          <w:tcPr>
            <w:tcW w:w="962" w:type="dxa"/>
            <w:vAlign w:val="center"/>
          </w:tcPr>
          <w:p w14:paraId="32999DC6">
            <w:pPr>
              <w:pStyle w:val="17"/>
              <w:rPr>
                <w:rFonts w:hAnsi="宋体"/>
                <w:color w:val="000000" w:themeColor="text1"/>
                <w:sz w:val="21"/>
                <w14:textFill>
                  <w14:solidFill>
                    <w14:schemeClr w14:val="tx1"/>
                  </w14:solidFill>
                </w14:textFill>
              </w:rPr>
            </w:pPr>
          </w:p>
        </w:tc>
        <w:tc>
          <w:tcPr>
            <w:tcW w:w="827" w:type="dxa"/>
            <w:vAlign w:val="center"/>
          </w:tcPr>
          <w:p w14:paraId="7B1002E7">
            <w:pPr>
              <w:pStyle w:val="17"/>
              <w:rPr>
                <w:rFonts w:hAnsi="宋体"/>
                <w:color w:val="000000" w:themeColor="text1"/>
                <w:sz w:val="21"/>
                <w14:textFill>
                  <w14:solidFill>
                    <w14:schemeClr w14:val="tx1"/>
                  </w14:solidFill>
                </w14:textFill>
              </w:rPr>
            </w:pPr>
          </w:p>
        </w:tc>
        <w:tc>
          <w:tcPr>
            <w:tcW w:w="1299" w:type="dxa"/>
            <w:vAlign w:val="center"/>
          </w:tcPr>
          <w:p w14:paraId="615D8A0D">
            <w:pPr>
              <w:pStyle w:val="17"/>
              <w:rPr>
                <w:rFonts w:hAnsi="宋体"/>
                <w:color w:val="000000" w:themeColor="text1"/>
                <w:sz w:val="21"/>
                <w14:textFill>
                  <w14:solidFill>
                    <w14:schemeClr w14:val="tx1"/>
                  </w14:solidFill>
                </w14:textFill>
              </w:rPr>
            </w:pPr>
          </w:p>
        </w:tc>
        <w:tc>
          <w:tcPr>
            <w:tcW w:w="913" w:type="dxa"/>
            <w:vAlign w:val="center"/>
          </w:tcPr>
          <w:p w14:paraId="2583D8DD">
            <w:pPr>
              <w:pStyle w:val="17"/>
              <w:rPr>
                <w:rFonts w:hAnsi="宋体"/>
                <w:color w:val="000000" w:themeColor="text1"/>
                <w:spacing w:val="-6"/>
                <w:sz w:val="21"/>
                <w14:textFill>
                  <w14:solidFill>
                    <w14:schemeClr w14:val="tx1"/>
                  </w14:solidFill>
                </w14:textFill>
              </w:rPr>
            </w:pPr>
          </w:p>
        </w:tc>
      </w:tr>
      <w:tr w14:paraId="0480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84" w:type="dxa"/>
            <w:vAlign w:val="center"/>
          </w:tcPr>
          <w:p w14:paraId="768E8744">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w:t>
            </w:r>
          </w:p>
        </w:tc>
        <w:tc>
          <w:tcPr>
            <w:tcW w:w="1347" w:type="dxa"/>
            <w:vAlign w:val="center"/>
          </w:tcPr>
          <w:p w14:paraId="7F644FE7">
            <w:pPr>
              <w:jc w:val="center"/>
              <w:rPr>
                <w:rFonts w:ascii="宋体" w:hAnsi="宋体"/>
                <w:color w:val="000000" w:themeColor="text1"/>
                <w:sz w:val="21"/>
                <w:szCs w:val="21"/>
                <w14:textFill>
                  <w14:solidFill>
                    <w14:schemeClr w14:val="tx1"/>
                  </w14:solidFill>
                </w14:textFill>
              </w:rPr>
            </w:pPr>
          </w:p>
        </w:tc>
        <w:tc>
          <w:tcPr>
            <w:tcW w:w="909" w:type="dxa"/>
            <w:vAlign w:val="center"/>
          </w:tcPr>
          <w:p w14:paraId="12F0510E">
            <w:pPr>
              <w:jc w:val="center"/>
              <w:rPr>
                <w:rFonts w:ascii="宋体" w:hAnsi="宋体"/>
                <w:color w:val="000000" w:themeColor="text1"/>
                <w:sz w:val="21"/>
                <w:szCs w:val="21"/>
                <w14:textFill>
                  <w14:solidFill>
                    <w14:schemeClr w14:val="tx1"/>
                  </w14:solidFill>
                </w14:textFill>
              </w:rPr>
            </w:pPr>
          </w:p>
        </w:tc>
        <w:tc>
          <w:tcPr>
            <w:tcW w:w="2094" w:type="dxa"/>
            <w:vAlign w:val="center"/>
          </w:tcPr>
          <w:p w14:paraId="189114A9">
            <w:pPr>
              <w:jc w:val="center"/>
              <w:rPr>
                <w:rFonts w:ascii="宋体" w:hAnsi="宋体"/>
                <w:color w:val="000000" w:themeColor="text1"/>
                <w:sz w:val="21"/>
                <w:szCs w:val="21"/>
                <w14:textFill>
                  <w14:solidFill>
                    <w14:schemeClr w14:val="tx1"/>
                  </w14:solidFill>
                </w14:textFill>
              </w:rPr>
            </w:pPr>
          </w:p>
        </w:tc>
        <w:tc>
          <w:tcPr>
            <w:tcW w:w="962" w:type="dxa"/>
            <w:vAlign w:val="center"/>
          </w:tcPr>
          <w:p w14:paraId="330B51C5">
            <w:pPr>
              <w:pStyle w:val="17"/>
              <w:rPr>
                <w:rFonts w:hAnsi="宋体"/>
                <w:color w:val="000000" w:themeColor="text1"/>
                <w:sz w:val="21"/>
                <w14:textFill>
                  <w14:solidFill>
                    <w14:schemeClr w14:val="tx1"/>
                  </w14:solidFill>
                </w14:textFill>
              </w:rPr>
            </w:pPr>
          </w:p>
        </w:tc>
        <w:tc>
          <w:tcPr>
            <w:tcW w:w="827" w:type="dxa"/>
            <w:vAlign w:val="center"/>
          </w:tcPr>
          <w:p w14:paraId="1A3BAE6D">
            <w:pPr>
              <w:pStyle w:val="17"/>
              <w:rPr>
                <w:rFonts w:hAnsi="宋体"/>
                <w:color w:val="000000" w:themeColor="text1"/>
                <w:sz w:val="21"/>
                <w14:textFill>
                  <w14:solidFill>
                    <w14:schemeClr w14:val="tx1"/>
                  </w14:solidFill>
                </w14:textFill>
              </w:rPr>
            </w:pPr>
          </w:p>
        </w:tc>
        <w:tc>
          <w:tcPr>
            <w:tcW w:w="1299" w:type="dxa"/>
            <w:vAlign w:val="center"/>
          </w:tcPr>
          <w:p w14:paraId="31DDEB4B">
            <w:pPr>
              <w:pStyle w:val="17"/>
              <w:rPr>
                <w:rFonts w:hAnsi="宋体"/>
                <w:color w:val="000000" w:themeColor="text1"/>
                <w:sz w:val="21"/>
                <w14:textFill>
                  <w14:solidFill>
                    <w14:schemeClr w14:val="tx1"/>
                  </w14:solidFill>
                </w14:textFill>
              </w:rPr>
            </w:pPr>
          </w:p>
        </w:tc>
        <w:tc>
          <w:tcPr>
            <w:tcW w:w="913" w:type="dxa"/>
            <w:vAlign w:val="center"/>
          </w:tcPr>
          <w:p w14:paraId="7B681480">
            <w:pPr>
              <w:pStyle w:val="17"/>
              <w:rPr>
                <w:rFonts w:hAnsi="宋体"/>
                <w:color w:val="000000" w:themeColor="text1"/>
                <w:spacing w:val="-6"/>
                <w:sz w:val="21"/>
                <w14:textFill>
                  <w14:solidFill>
                    <w14:schemeClr w14:val="tx1"/>
                  </w14:solidFill>
                </w14:textFill>
              </w:rPr>
            </w:pPr>
          </w:p>
        </w:tc>
      </w:tr>
      <w:tr w14:paraId="2E5C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60216620">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w:t>
            </w:r>
          </w:p>
        </w:tc>
        <w:tc>
          <w:tcPr>
            <w:tcW w:w="1347" w:type="dxa"/>
            <w:vAlign w:val="center"/>
          </w:tcPr>
          <w:p w14:paraId="661A1623">
            <w:pPr>
              <w:jc w:val="center"/>
              <w:rPr>
                <w:rFonts w:ascii="宋体" w:hAnsi="宋体"/>
                <w:color w:val="000000" w:themeColor="text1"/>
                <w:sz w:val="21"/>
                <w:szCs w:val="21"/>
                <w14:textFill>
                  <w14:solidFill>
                    <w14:schemeClr w14:val="tx1"/>
                  </w14:solidFill>
                </w14:textFill>
              </w:rPr>
            </w:pPr>
          </w:p>
        </w:tc>
        <w:tc>
          <w:tcPr>
            <w:tcW w:w="909" w:type="dxa"/>
            <w:vAlign w:val="center"/>
          </w:tcPr>
          <w:p w14:paraId="4550C243">
            <w:pPr>
              <w:jc w:val="center"/>
              <w:rPr>
                <w:rFonts w:ascii="宋体" w:hAnsi="宋体"/>
                <w:color w:val="000000" w:themeColor="text1"/>
                <w:sz w:val="21"/>
                <w:szCs w:val="21"/>
                <w14:textFill>
                  <w14:solidFill>
                    <w14:schemeClr w14:val="tx1"/>
                  </w14:solidFill>
                </w14:textFill>
              </w:rPr>
            </w:pPr>
          </w:p>
        </w:tc>
        <w:tc>
          <w:tcPr>
            <w:tcW w:w="2094" w:type="dxa"/>
            <w:vAlign w:val="center"/>
          </w:tcPr>
          <w:p w14:paraId="30C22CE8">
            <w:pPr>
              <w:jc w:val="center"/>
              <w:rPr>
                <w:rFonts w:ascii="宋体" w:hAnsi="宋体"/>
                <w:color w:val="000000" w:themeColor="text1"/>
                <w:sz w:val="21"/>
                <w:szCs w:val="21"/>
                <w14:textFill>
                  <w14:solidFill>
                    <w14:schemeClr w14:val="tx1"/>
                  </w14:solidFill>
                </w14:textFill>
              </w:rPr>
            </w:pPr>
          </w:p>
        </w:tc>
        <w:tc>
          <w:tcPr>
            <w:tcW w:w="962" w:type="dxa"/>
            <w:vAlign w:val="center"/>
          </w:tcPr>
          <w:p w14:paraId="01DF0351">
            <w:pPr>
              <w:pStyle w:val="17"/>
              <w:rPr>
                <w:rFonts w:hAnsi="宋体"/>
                <w:color w:val="000000" w:themeColor="text1"/>
                <w:sz w:val="21"/>
                <w14:textFill>
                  <w14:solidFill>
                    <w14:schemeClr w14:val="tx1"/>
                  </w14:solidFill>
                </w14:textFill>
              </w:rPr>
            </w:pPr>
          </w:p>
        </w:tc>
        <w:tc>
          <w:tcPr>
            <w:tcW w:w="827" w:type="dxa"/>
            <w:vAlign w:val="center"/>
          </w:tcPr>
          <w:p w14:paraId="2BA3BDDD">
            <w:pPr>
              <w:pStyle w:val="17"/>
              <w:rPr>
                <w:rFonts w:hAnsi="宋体"/>
                <w:color w:val="000000" w:themeColor="text1"/>
                <w:sz w:val="21"/>
                <w14:textFill>
                  <w14:solidFill>
                    <w14:schemeClr w14:val="tx1"/>
                  </w14:solidFill>
                </w14:textFill>
              </w:rPr>
            </w:pPr>
          </w:p>
        </w:tc>
        <w:tc>
          <w:tcPr>
            <w:tcW w:w="1299" w:type="dxa"/>
            <w:vAlign w:val="center"/>
          </w:tcPr>
          <w:p w14:paraId="5B3E9C5F">
            <w:pPr>
              <w:pStyle w:val="17"/>
              <w:rPr>
                <w:rFonts w:hAnsi="宋体"/>
                <w:color w:val="000000" w:themeColor="text1"/>
                <w:sz w:val="21"/>
                <w14:textFill>
                  <w14:solidFill>
                    <w14:schemeClr w14:val="tx1"/>
                  </w14:solidFill>
                </w14:textFill>
              </w:rPr>
            </w:pPr>
          </w:p>
        </w:tc>
        <w:tc>
          <w:tcPr>
            <w:tcW w:w="913" w:type="dxa"/>
            <w:vAlign w:val="center"/>
          </w:tcPr>
          <w:p w14:paraId="5D16BC2A">
            <w:pPr>
              <w:pStyle w:val="17"/>
              <w:rPr>
                <w:rFonts w:hAnsi="宋体"/>
                <w:color w:val="000000" w:themeColor="text1"/>
                <w:spacing w:val="-6"/>
                <w:sz w:val="21"/>
                <w14:textFill>
                  <w14:solidFill>
                    <w14:schemeClr w14:val="tx1"/>
                  </w14:solidFill>
                </w14:textFill>
              </w:rPr>
            </w:pPr>
          </w:p>
        </w:tc>
      </w:tr>
      <w:tr w14:paraId="50E3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74E9BC0E">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4</w:t>
            </w:r>
          </w:p>
        </w:tc>
        <w:tc>
          <w:tcPr>
            <w:tcW w:w="1347" w:type="dxa"/>
            <w:vAlign w:val="center"/>
          </w:tcPr>
          <w:p w14:paraId="2CDAE16A">
            <w:pPr>
              <w:jc w:val="center"/>
              <w:rPr>
                <w:rFonts w:ascii="宋体" w:hAnsi="宋体"/>
                <w:color w:val="000000" w:themeColor="text1"/>
                <w:sz w:val="21"/>
                <w:szCs w:val="21"/>
                <w14:textFill>
                  <w14:solidFill>
                    <w14:schemeClr w14:val="tx1"/>
                  </w14:solidFill>
                </w14:textFill>
              </w:rPr>
            </w:pPr>
          </w:p>
        </w:tc>
        <w:tc>
          <w:tcPr>
            <w:tcW w:w="909" w:type="dxa"/>
            <w:vAlign w:val="center"/>
          </w:tcPr>
          <w:p w14:paraId="4A7E29B7">
            <w:pPr>
              <w:jc w:val="center"/>
              <w:rPr>
                <w:rFonts w:ascii="宋体" w:hAnsi="宋体"/>
                <w:color w:val="000000" w:themeColor="text1"/>
                <w:sz w:val="21"/>
                <w:szCs w:val="21"/>
                <w14:textFill>
                  <w14:solidFill>
                    <w14:schemeClr w14:val="tx1"/>
                  </w14:solidFill>
                </w14:textFill>
              </w:rPr>
            </w:pPr>
          </w:p>
        </w:tc>
        <w:tc>
          <w:tcPr>
            <w:tcW w:w="2094" w:type="dxa"/>
            <w:vAlign w:val="center"/>
          </w:tcPr>
          <w:p w14:paraId="453B3F5D">
            <w:pPr>
              <w:jc w:val="center"/>
              <w:rPr>
                <w:rFonts w:ascii="宋体" w:hAnsi="宋体"/>
                <w:color w:val="000000" w:themeColor="text1"/>
                <w:sz w:val="21"/>
                <w:szCs w:val="21"/>
                <w14:textFill>
                  <w14:solidFill>
                    <w14:schemeClr w14:val="tx1"/>
                  </w14:solidFill>
                </w14:textFill>
              </w:rPr>
            </w:pPr>
          </w:p>
        </w:tc>
        <w:tc>
          <w:tcPr>
            <w:tcW w:w="962" w:type="dxa"/>
            <w:vAlign w:val="center"/>
          </w:tcPr>
          <w:p w14:paraId="07E22076">
            <w:pPr>
              <w:pStyle w:val="17"/>
              <w:rPr>
                <w:rFonts w:hAnsi="宋体"/>
                <w:color w:val="000000" w:themeColor="text1"/>
                <w:sz w:val="21"/>
                <w14:textFill>
                  <w14:solidFill>
                    <w14:schemeClr w14:val="tx1"/>
                  </w14:solidFill>
                </w14:textFill>
              </w:rPr>
            </w:pPr>
          </w:p>
        </w:tc>
        <w:tc>
          <w:tcPr>
            <w:tcW w:w="827" w:type="dxa"/>
            <w:vAlign w:val="center"/>
          </w:tcPr>
          <w:p w14:paraId="7E82542B">
            <w:pPr>
              <w:pStyle w:val="17"/>
              <w:rPr>
                <w:rFonts w:hAnsi="宋体"/>
                <w:color w:val="000000" w:themeColor="text1"/>
                <w:sz w:val="21"/>
                <w14:textFill>
                  <w14:solidFill>
                    <w14:schemeClr w14:val="tx1"/>
                  </w14:solidFill>
                </w14:textFill>
              </w:rPr>
            </w:pPr>
          </w:p>
        </w:tc>
        <w:tc>
          <w:tcPr>
            <w:tcW w:w="1299" w:type="dxa"/>
            <w:vAlign w:val="center"/>
          </w:tcPr>
          <w:p w14:paraId="70F7F546">
            <w:pPr>
              <w:pStyle w:val="17"/>
              <w:rPr>
                <w:rFonts w:hAnsi="宋体"/>
                <w:color w:val="000000" w:themeColor="text1"/>
                <w:sz w:val="21"/>
                <w14:textFill>
                  <w14:solidFill>
                    <w14:schemeClr w14:val="tx1"/>
                  </w14:solidFill>
                </w14:textFill>
              </w:rPr>
            </w:pPr>
          </w:p>
        </w:tc>
        <w:tc>
          <w:tcPr>
            <w:tcW w:w="913" w:type="dxa"/>
            <w:vAlign w:val="center"/>
          </w:tcPr>
          <w:p w14:paraId="616B0C2D">
            <w:pPr>
              <w:pStyle w:val="17"/>
              <w:rPr>
                <w:rFonts w:hAnsi="宋体"/>
                <w:color w:val="000000" w:themeColor="text1"/>
                <w:spacing w:val="-6"/>
                <w:sz w:val="21"/>
                <w14:textFill>
                  <w14:solidFill>
                    <w14:schemeClr w14:val="tx1"/>
                  </w14:solidFill>
                </w14:textFill>
              </w:rPr>
            </w:pPr>
          </w:p>
        </w:tc>
      </w:tr>
      <w:tr w14:paraId="2B6E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030A95C0">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5</w:t>
            </w:r>
          </w:p>
        </w:tc>
        <w:tc>
          <w:tcPr>
            <w:tcW w:w="1347" w:type="dxa"/>
            <w:vAlign w:val="center"/>
          </w:tcPr>
          <w:p w14:paraId="672BA279">
            <w:pPr>
              <w:jc w:val="center"/>
              <w:rPr>
                <w:rFonts w:ascii="宋体" w:hAnsi="宋体"/>
                <w:color w:val="000000" w:themeColor="text1"/>
                <w:sz w:val="21"/>
                <w:szCs w:val="21"/>
                <w14:textFill>
                  <w14:solidFill>
                    <w14:schemeClr w14:val="tx1"/>
                  </w14:solidFill>
                </w14:textFill>
              </w:rPr>
            </w:pPr>
          </w:p>
        </w:tc>
        <w:tc>
          <w:tcPr>
            <w:tcW w:w="909" w:type="dxa"/>
            <w:vAlign w:val="center"/>
          </w:tcPr>
          <w:p w14:paraId="6BFD013E">
            <w:pPr>
              <w:jc w:val="center"/>
              <w:rPr>
                <w:rFonts w:ascii="宋体" w:hAnsi="宋体"/>
                <w:color w:val="000000" w:themeColor="text1"/>
                <w:sz w:val="21"/>
                <w:szCs w:val="21"/>
                <w14:textFill>
                  <w14:solidFill>
                    <w14:schemeClr w14:val="tx1"/>
                  </w14:solidFill>
                </w14:textFill>
              </w:rPr>
            </w:pPr>
          </w:p>
        </w:tc>
        <w:tc>
          <w:tcPr>
            <w:tcW w:w="2094" w:type="dxa"/>
            <w:vAlign w:val="center"/>
          </w:tcPr>
          <w:p w14:paraId="220D97A7">
            <w:pPr>
              <w:jc w:val="center"/>
              <w:rPr>
                <w:rFonts w:ascii="宋体" w:hAnsi="宋体"/>
                <w:color w:val="000000" w:themeColor="text1"/>
                <w:sz w:val="21"/>
                <w:szCs w:val="21"/>
                <w14:textFill>
                  <w14:solidFill>
                    <w14:schemeClr w14:val="tx1"/>
                  </w14:solidFill>
                </w14:textFill>
              </w:rPr>
            </w:pPr>
          </w:p>
        </w:tc>
        <w:tc>
          <w:tcPr>
            <w:tcW w:w="962" w:type="dxa"/>
            <w:vAlign w:val="center"/>
          </w:tcPr>
          <w:p w14:paraId="6DC7F5B7">
            <w:pPr>
              <w:pStyle w:val="17"/>
              <w:rPr>
                <w:rFonts w:hAnsi="宋体"/>
                <w:color w:val="000000" w:themeColor="text1"/>
                <w:sz w:val="21"/>
                <w14:textFill>
                  <w14:solidFill>
                    <w14:schemeClr w14:val="tx1"/>
                  </w14:solidFill>
                </w14:textFill>
              </w:rPr>
            </w:pPr>
          </w:p>
        </w:tc>
        <w:tc>
          <w:tcPr>
            <w:tcW w:w="827" w:type="dxa"/>
            <w:vAlign w:val="center"/>
          </w:tcPr>
          <w:p w14:paraId="4DB14251">
            <w:pPr>
              <w:pStyle w:val="17"/>
              <w:rPr>
                <w:rFonts w:hAnsi="宋体"/>
                <w:color w:val="000000" w:themeColor="text1"/>
                <w:sz w:val="21"/>
                <w14:textFill>
                  <w14:solidFill>
                    <w14:schemeClr w14:val="tx1"/>
                  </w14:solidFill>
                </w14:textFill>
              </w:rPr>
            </w:pPr>
          </w:p>
        </w:tc>
        <w:tc>
          <w:tcPr>
            <w:tcW w:w="1299" w:type="dxa"/>
            <w:vAlign w:val="center"/>
          </w:tcPr>
          <w:p w14:paraId="76801D85">
            <w:pPr>
              <w:pStyle w:val="17"/>
              <w:rPr>
                <w:rFonts w:hAnsi="宋体"/>
                <w:color w:val="000000" w:themeColor="text1"/>
                <w:sz w:val="21"/>
                <w14:textFill>
                  <w14:solidFill>
                    <w14:schemeClr w14:val="tx1"/>
                  </w14:solidFill>
                </w14:textFill>
              </w:rPr>
            </w:pPr>
          </w:p>
        </w:tc>
        <w:tc>
          <w:tcPr>
            <w:tcW w:w="913" w:type="dxa"/>
            <w:vAlign w:val="center"/>
          </w:tcPr>
          <w:p w14:paraId="709EF99E">
            <w:pPr>
              <w:pStyle w:val="17"/>
              <w:rPr>
                <w:rFonts w:hAnsi="宋体"/>
                <w:color w:val="000000" w:themeColor="text1"/>
                <w:spacing w:val="-6"/>
                <w:sz w:val="21"/>
                <w14:textFill>
                  <w14:solidFill>
                    <w14:schemeClr w14:val="tx1"/>
                  </w14:solidFill>
                </w14:textFill>
              </w:rPr>
            </w:pPr>
          </w:p>
        </w:tc>
      </w:tr>
      <w:tr w14:paraId="1715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52FB27D4">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6</w:t>
            </w:r>
          </w:p>
        </w:tc>
        <w:tc>
          <w:tcPr>
            <w:tcW w:w="1347" w:type="dxa"/>
            <w:vAlign w:val="center"/>
          </w:tcPr>
          <w:p w14:paraId="7D88AF5E">
            <w:pPr>
              <w:jc w:val="center"/>
              <w:rPr>
                <w:rFonts w:ascii="宋体" w:hAnsi="宋体"/>
                <w:color w:val="000000" w:themeColor="text1"/>
                <w:sz w:val="21"/>
                <w:szCs w:val="21"/>
                <w14:textFill>
                  <w14:solidFill>
                    <w14:schemeClr w14:val="tx1"/>
                  </w14:solidFill>
                </w14:textFill>
              </w:rPr>
            </w:pPr>
          </w:p>
        </w:tc>
        <w:tc>
          <w:tcPr>
            <w:tcW w:w="909" w:type="dxa"/>
            <w:vAlign w:val="center"/>
          </w:tcPr>
          <w:p w14:paraId="54E8CB14">
            <w:pPr>
              <w:jc w:val="center"/>
              <w:rPr>
                <w:rFonts w:ascii="宋体" w:hAnsi="宋体"/>
                <w:color w:val="000000" w:themeColor="text1"/>
                <w:sz w:val="21"/>
                <w:szCs w:val="21"/>
                <w14:textFill>
                  <w14:solidFill>
                    <w14:schemeClr w14:val="tx1"/>
                  </w14:solidFill>
                </w14:textFill>
              </w:rPr>
            </w:pPr>
          </w:p>
        </w:tc>
        <w:tc>
          <w:tcPr>
            <w:tcW w:w="2094" w:type="dxa"/>
            <w:vAlign w:val="center"/>
          </w:tcPr>
          <w:p w14:paraId="4D03D220">
            <w:pPr>
              <w:jc w:val="center"/>
              <w:rPr>
                <w:rFonts w:ascii="宋体" w:hAnsi="宋体"/>
                <w:color w:val="000000" w:themeColor="text1"/>
                <w:sz w:val="21"/>
                <w:szCs w:val="21"/>
                <w14:textFill>
                  <w14:solidFill>
                    <w14:schemeClr w14:val="tx1"/>
                  </w14:solidFill>
                </w14:textFill>
              </w:rPr>
            </w:pPr>
          </w:p>
        </w:tc>
        <w:tc>
          <w:tcPr>
            <w:tcW w:w="962" w:type="dxa"/>
            <w:vAlign w:val="center"/>
          </w:tcPr>
          <w:p w14:paraId="146ABD45">
            <w:pPr>
              <w:pStyle w:val="17"/>
              <w:rPr>
                <w:rFonts w:hAnsi="宋体"/>
                <w:color w:val="000000" w:themeColor="text1"/>
                <w:sz w:val="21"/>
                <w14:textFill>
                  <w14:solidFill>
                    <w14:schemeClr w14:val="tx1"/>
                  </w14:solidFill>
                </w14:textFill>
              </w:rPr>
            </w:pPr>
          </w:p>
        </w:tc>
        <w:tc>
          <w:tcPr>
            <w:tcW w:w="827" w:type="dxa"/>
            <w:vAlign w:val="center"/>
          </w:tcPr>
          <w:p w14:paraId="67AFD5E2">
            <w:pPr>
              <w:pStyle w:val="17"/>
              <w:rPr>
                <w:rFonts w:hAnsi="宋体"/>
                <w:color w:val="000000" w:themeColor="text1"/>
                <w:sz w:val="21"/>
                <w14:textFill>
                  <w14:solidFill>
                    <w14:schemeClr w14:val="tx1"/>
                  </w14:solidFill>
                </w14:textFill>
              </w:rPr>
            </w:pPr>
          </w:p>
        </w:tc>
        <w:tc>
          <w:tcPr>
            <w:tcW w:w="1299" w:type="dxa"/>
            <w:vAlign w:val="center"/>
          </w:tcPr>
          <w:p w14:paraId="08173B73">
            <w:pPr>
              <w:pStyle w:val="17"/>
              <w:rPr>
                <w:rFonts w:hAnsi="宋体"/>
                <w:color w:val="000000" w:themeColor="text1"/>
                <w:sz w:val="21"/>
                <w14:textFill>
                  <w14:solidFill>
                    <w14:schemeClr w14:val="tx1"/>
                  </w14:solidFill>
                </w14:textFill>
              </w:rPr>
            </w:pPr>
          </w:p>
        </w:tc>
        <w:tc>
          <w:tcPr>
            <w:tcW w:w="913" w:type="dxa"/>
            <w:vAlign w:val="center"/>
          </w:tcPr>
          <w:p w14:paraId="562A3BB0">
            <w:pPr>
              <w:pStyle w:val="17"/>
              <w:rPr>
                <w:rFonts w:hAnsi="宋体"/>
                <w:color w:val="000000" w:themeColor="text1"/>
                <w:spacing w:val="-6"/>
                <w:sz w:val="21"/>
                <w14:textFill>
                  <w14:solidFill>
                    <w14:schemeClr w14:val="tx1"/>
                  </w14:solidFill>
                </w14:textFill>
              </w:rPr>
            </w:pPr>
          </w:p>
        </w:tc>
      </w:tr>
      <w:tr w14:paraId="7E51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2D27AC6A">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7</w:t>
            </w:r>
          </w:p>
        </w:tc>
        <w:tc>
          <w:tcPr>
            <w:tcW w:w="1347" w:type="dxa"/>
            <w:vAlign w:val="center"/>
          </w:tcPr>
          <w:p w14:paraId="3A6C97FE">
            <w:pPr>
              <w:jc w:val="center"/>
              <w:rPr>
                <w:rFonts w:ascii="宋体" w:hAnsi="宋体"/>
                <w:color w:val="000000" w:themeColor="text1"/>
                <w:sz w:val="21"/>
                <w:szCs w:val="21"/>
                <w14:textFill>
                  <w14:solidFill>
                    <w14:schemeClr w14:val="tx1"/>
                  </w14:solidFill>
                </w14:textFill>
              </w:rPr>
            </w:pPr>
          </w:p>
        </w:tc>
        <w:tc>
          <w:tcPr>
            <w:tcW w:w="909" w:type="dxa"/>
            <w:vAlign w:val="center"/>
          </w:tcPr>
          <w:p w14:paraId="64DF821C">
            <w:pPr>
              <w:jc w:val="center"/>
              <w:rPr>
                <w:rFonts w:ascii="宋体" w:hAnsi="宋体"/>
                <w:color w:val="000000" w:themeColor="text1"/>
                <w:sz w:val="21"/>
                <w:szCs w:val="21"/>
                <w14:textFill>
                  <w14:solidFill>
                    <w14:schemeClr w14:val="tx1"/>
                  </w14:solidFill>
                </w14:textFill>
              </w:rPr>
            </w:pPr>
          </w:p>
        </w:tc>
        <w:tc>
          <w:tcPr>
            <w:tcW w:w="2094" w:type="dxa"/>
            <w:vAlign w:val="center"/>
          </w:tcPr>
          <w:p w14:paraId="7020B8B3">
            <w:pPr>
              <w:jc w:val="center"/>
              <w:rPr>
                <w:rFonts w:ascii="宋体" w:hAnsi="宋体"/>
                <w:color w:val="000000" w:themeColor="text1"/>
                <w:sz w:val="21"/>
                <w:szCs w:val="21"/>
                <w14:textFill>
                  <w14:solidFill>
                    <w14:schemeClr w14:val="tx1"/>
                  </w14:solidFill>
                </w14:textFill>
              </w:rPr>
            </w:pPr>
          </w:p>
        </w:tc>
        <w:tc>
          <w:tcPr>
            <w:tcW w:w="962" w:type="dxa"/>
            <w:vAlign w:val="center"/>
          </w:tcPr>
          <w:p w14:paraId="20B8A5D0">
            <w:pPr>
              <w:pStyle w:val="17"/>
              <w:rPr>
                <w:rFonts w:hAnsi="宋体"/>
                <w:color w:val="000000" w:themeColor="text1"/>
                <w:sz w:val="21"/>
                <w14:textFill>
                  <w14:solidFill>
                    <w14:schemeClr w14:val="tx1"/>
                  </w14:solidFill>
                </w14:textFill>
              </w:rPr>
            </w:pPr>
          </w:p>
        </w:tc>
        <w:tc>
          <w:tcPr>
            <w:tcW w:w="827" w:type="dxa"/>
            <w:vAlign w:val="center"/>
          </w:tcPr>
          <w:p w14:paraId="58DDB130">
            <w:pPr>
              <w:pStyle w:val="17"/>
              <w:rPr>
                <w:rFonts w:hAnsi="宋体"/>
                <w:color w:val="000000" w:themeColor="text1"/>
                <w:sz w:val="21"/>
                <w14:textFill>
                  <w14:solidFill>
                    <w14:schemeClr w14:val="tx1"/>
                  </w14:solidFill>
                </w14:textFill>
              </w:rPr>
            </w:pPr>
          </w:p>
        </w:tc>
        <w:tc>
          <w:tcPr>
            <w:tcW w:w="1299" w:type="dxa"/>
            <w:vAlign w:val="center"/>
          </w:tcPr>
          <w:p w14:paraId="005342A7">
            <w:pPr>
              <w:pStyle w:val="17"/>
              <w:rPr>
                <w:rFonts w:hAnsi="宋体"/>
                <w:color w:val="000000" w:themeColor="text1"/>
                <w:sz w:val="21"/>
                <w14:textFill>
                  <w14:solidFill>
                    <w14:schemeClr w14:val="tx1"/>
                  </w14:solidFill>
                </w14:textFill>
              </w:rPr>
            </w:pPr>
          </w:p>
        </w:tc>
        <w:tc>
          <w:tcPr>
            <w:tcW w:w="913" w:type="dxa"/>
            <w:vAlign w:val="center"/>
          </w:tcPr>
          <w:p w14:paraId="509AAAEC">
            <w:pPr>
              <w:pStyle w:val="17"/>
              <w:rPr>
                <w:rFonts w:hAnsi="宋体"/>
                <w:color w:val="000000" w:themeColor="text1"/>
                <w:spacing w:val="-6"/>
                <w:sz w:val="21"/>
                <w14:textFill>
                  <w14:solidFill>
                    <w14:schemeClr w14:val="tx1"/>
                  </w14:solidFill>
                </w14:textFill>
              </w:rPr>
            </w:pPr>
          </w:p>
        </w:tc>
      </w:tr>
      <w:tr w14:paraId="10EA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7D38C166">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8</w:t>
            </w:r>
          </w:p>
        </w:tc>
        <w:tc>
          <w:tcPr>
            <w:tcW w:w="1347" w:type="dxa"/>
            <w:vAlign w:val="center"/>
          </w:tcPr>
          <w:p w14:paraId="136EBFD4">
            <w:pPr>
              <w:jc w:val="center"/>
              <w:rPr>
                <w:rFonts w:ascii="宋体" w:hAnsi="宋体"/>
                <w:color w:val="000000" w:themeColor="text1"/>
                <w:sz w:val="21"/>
                <w:szCs w:val="21"/>
                <w14:textFill>
                  <w14:solidFill>
                    <w14:schemeClr w14:val="tx1"/>
                  </w14:solidFill>
                </w14:textFill>
              </w:rPr>
            </w:pPr>
          </w:p>
        </w:tc>
        <w:tc>
          <w:tcPr>
            <w:tcW w:w="909" w:type="dxa"/>
            <w:vAlign w:val="center"/>
          </w:tcPr>
          <w:p w14:paraId="65F6F591">
            <w:pPr>
              <w:jc w:val="center"/>
              <w:rPr>
                <w:rFonts w:ascii="宋体" w:hAnsi="宋体"/>
                <w:color w:val="000000" w:themeColor="text1"/>
                <w:sz w:val="21"/>
                <w:szCs w:val="21"/>
                <w14:textFill>
                  <w14:solidFill>
                    <w14:schemeClr w14:val="tx1"/>
                  </w14:solidFill>
                </w14:textFill>
              </w:rPr>
            </w:pPr>
          </w:p>
        </w:tc>
        <w:tc>
          <w:tcPr>
            <w:tcW w:w="2094" w:type="dxa"/>
            <w:vAlign w:val="center"/>
          </w:tcPr>
          <w:p w14:paraId="30A9A213">
            <w:pPr>
              <w:jc w:val="center"/>
              <w:rPr>
                <w:rFonts w:ascii="宋体" w:hAnsi="宋体"/>
                <w:color w:val="000000" w:themeColor="text1"/>
                <w:sz w:val="21"/>
                <w:szCs w:val="21"/>
                <w14:textFill>
                  <w14:solidFill>
                    <w14:schemeClr w14:val="tx1"/>
                  </w14:solidFill>
                </w14:textFill>
              </w:rPr>
            </w:pPr>
          </w:p>
        </w:tc>
        <w:tc>
          <w:tcPr>
            <w:tcW w:w="962" w:type="dxa"/>
            <w:vAlign w:val="center"/>
          </w:tcPr>
          <w:p w14:paraId="4E6AF88D">
            <w:pPr>
              <w:pStyle w:val="17"/>
              <w:rPr>
                <w:rFonts w:hAnsi="宋体"/>
                <w:color w:val="000000" w:themeColor="text1"/>
                <w:sz w:val="21"/>
                <w14:textFill>
                  <w14:solidFill>
                    <w14:schemeClr w14:val="tx1"/>
                  </w14:solidFill>
                </w14:textFill>
              </w:rPr>
            </w:pPr>
          </w:p>
        </w:tc>
        <w:tc>
          <w:tcPr>
            <w:tcW w:w="827" w:type="dxa"/>
            <w:vAlign w:val="center"/>
          </w:tcPr>
          <w:p w14:paraId="0F62F85B">
            <w:pPr>
              <w:pStyle w:val="17"/>
              <w:rPr>
                <w:rFonts w:hAnsi="宋体"/>
                <w:color w:val="000000" w:themeColor="text1"/>
                <w:sz w:val="21"/>
                <w14:textFill>
                  <w14:solidFill>
                    <w14:schemeClr w14:val="tx1"/>
                  </w14:solidFill>
                </w14:textFill>
              </w:rPr>
            </w:pPr>
          </w:p>
        </w:tc>
        <w:tc>
          <w:tcPr>
            <w:tcW w:w="1299" w:type="dxa"/>
            <w:vAlign w:val="center"/>
          </w:tcPr>
          <w:p w14:paraId="6AF271EC">
            <w:pPr>
              <w:pStyle w:val="17"/>
              <w:rPr>
                <w:rFonts w:hAnsi="宋体"/>
                <w:color w:val="000000" w:themeColor="text1"/>
                <w:sz w:val="21"/>
                <w14:textFill>
                  <w14:solidFill>
                    <w14:schemeClr w14:val="tx1"/>
                  </w14:solidFill>
                </w14:textFill>
              </w:rPr>
            </w:pPr>
          </w:p>
        </w:tc>
        <w:tc>
          <w:tcPr>
            <w:tcW w:w="913" w:type="dxa"/>
            <w:vAlign w:val="center"/>
          </w:tcPr>
          <w:p w14:paraId="5F66A8F1">
            <w:pPr>
              <w:pStyle w:val="17"/>
              <w:rPr>
                <w:rFonts w:hAnsi="宋体"/>
                <w:color w:val="000000" w:themeColor="text1"/>
                <w:spacing w:val="-6"/>
                <w:sz w:val="21"/>
                <w14:textFill>
                  <w14:solidFill>
                    <w14:schemeClr w14:val="tx1"/>
                  </w14:solidFill>
                </w14:textFill>
              </w:rPr>
            </w:pPr>
          </w:p>
        </w:tc>
      </w:tr>
      <w:tr w14:paraId="1C90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67C9E24C">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10</w:t>
            </w:r>
          </w:p>
        </w:tc>
        <w:tc>
          <w:tcPr>
            <w:tcW w:w="1347" w:type="dxa"/>
            <w:vAlign w:val="center"/>
          </w:tcPr>
          <w:p w14:paraId="35F345A4">
            <w:pPr>
              <w:jc w:val="center"/>
              <w:rPr>
                <w:rFonts w:ascii="宋体" w:hAnsi="宋体"/>
                <w:color w:val="000000" w:themeColor="text1"/>
                <w:sz w:val="21"/>
                <w:szCs w:val="21"/>
                <w14:textFill>
                  <w14:solidFill>
                    <w14:schemeClr w14:val="tx1"/>
                  </w14:solidFill>
                </w14:textFill>
              </w:rPr>
            </w:pPr>
          </w:p>
        </w:tc>
        <w:tc>
          <w:tcPr>
            <w:tcW w:w="909" w:type="dxa"/>
            <w:vAlign w:val="center"/>
          </w:tcPr>
          <w:p w14:paraId="3A42A985">
            <w:pPr>
              <w:jc w:val="center"/>
              <w:rPr>
                <w:rFonts w:ascii="宋体" w:hAnsi="宋体"/>
                <w:color w:val="000000" w:themeColor="text1"/>
                <w:sz w:val="21"/>
                <w:szCs w:val="21"/>
                <w14:textFill>
                  <w14:solidFill>
                    <w14:schemeClr w14:val="tx1"/>
                  </w14:solidFill>
                </w14:textFill>
              </w:rPr>
            </w:pPr>
          </w:p>
        </w:tc>
        <w:tc>
          <w:tcPr>
            <w:tcW w:w="2094" w:type="dxa"/>
            <w:vAlign w:val="center"/>
          </w:tcPr>
          <w:p w14:paraId="2792D9B8">
            <w:pPr>
              <w:jc w:val="center"/>
              <w:rPr>
                <w:rFonts w:ascii="宋体" w:hAnsi="宋体"/>
                <w:color w:val="000000" w:themeColor="text1"/>
                <w:sz w:val="21"/>
                <w:szCs w:val="21"/>
                <w14:textFill>
                  <w14:solidFill>
                    <w14:schemeClr w14:val="tx1"/>
                  </w14:solidFill>
                </w14:textFill>
              </w:rPr>
            </w:pPr>
          </w:p>
        </w:tc>
        <w:tc>
          <w:tcPr>
            <w:tcW w:w="962" w:type="dxa"/>
            <w:vAlign w:val="center"/>
          </w:tcPr>
          <w:p w14:paraId="22A9B53F">
            <w:pPr>
              <w:pStyle w:val="17"/>
              <w:rPr>
                <w:rFonts w:hAnsi="宋体"/>
                <w:color w:val="000000" w:themeColor="text1"/>
                <w:sz w:val="21"/>
                <w14:textFill>
                  <w14:solidFill>
                    <w14:schemeClr w14:val="tx1"/>
                  </w14:solidFill>
                </w14:textFill>
              </w:rPr>
            </w:pPr>
          </w:p>
        </w:tc>
        <w:tc>
          <w:tcPr>
            <w:tcW w:w="827" w:type="dxa"/>
            <w:vAlign w:val="center"/>
          </w:tcPr>
          <w:p w14:paraId="7FE7235C">
            <w:pPr>
              <w:pStyle w:val="17"/>
              <w:rPr>
                <w:rFonts w:hAnsi="宋体"/>
                <w:color w:val="000000" w:themeColor="text1"/>
                <w:sz w:val="21"/>
                <w14:textFill>
                  <w14:solidFill>
                    <w14:schemeClr w14:val="tx1"/>
                  </w14:solidFill>
                </w14:textFill>
              </w:rPr>
            </w:pPr>
          </w:p>
        </w:tc>
        <w:tc>
          <w:tcPr>
            <w:tcW w:w="1299" w:type="dxa"/>
            <w:vAlign w:val="center"/>
          </w:tcPr>
          <w:p w14:paraId="74E8DD50">
            <w:pPr>
              <w:pStyle w:val="17"/>
              <w:rPr>
                <w:rFonts w:hAnsi="宋体"/>
                <w:color w:val="000000" w:themeColor="text1"/>
                <w:sz w:val="21"/>
                <w14:textFill>
                  <w14:solidFill>
                    <w14:schemeClr w14:val="tx1"/>
                  </w14:solidFill>
                </w14:textFill>
              </w:rPr>
            </w:pPr>
          </w:p>
        </w:tc>
        <w:tc>
          <w:tcPr>
            <w:tcW w:w="913" w:type="dxa"/>
            <w:vAlign w:val="center"/>
          </w:tcPr>
          <w:p w14:paraId="24D96D6C">
            <w:pPr>
              <w:pStyle w:val="17"/>
              <w:rPr>
                <w:rFonts w:hAnsi="宋体"/>
                <w:color w:val="000000" w:themeColor="text1"/>
                <w:spacing w:val="-6"/>
                <w:sz w:val="21"/>
                <w14:textFill>
                  <w14:solidFill>
                    <w14:schemeClr w14:val="tx1"/>
                  </w14:solidFill>
                </w14:textFill>
              </w:rPr>
            </w:pPr>
          </w:p>
        </w:tc>
      </w:tr>
      <w:tr w14:paraId="794F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77ADC048">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11</w:t>
            </w:r>
          </w:p>
        </w:tc>
        <w:tc>
          <w:tcPr>
            <w:tcW w:w="1347" w:type="dxa"/>
            <w:vAlign w:val="center"/>
          </w:tcPr>
          <w:p w14:paraId="0F3ECABF">
            <w:pPr>
              <w:jc w:val="center"/>
              <w:rPr>
                <w:rFonts w:ascii="宋体" w:hAnsi="宋体"/>
                <w:color w:val="000000" w:themeColor="text1"/>
                <w:sz w:val="21"/>
                <w:szCs w:val="21"/>
                <w14:textFill>
                  <w14:solidFill>
                    <w14:schemeClr w14:val="tx1"/>
                  </w14:solidFill>
                </w14:textFill>
              </w:rPr>
            </w:pPr>
          </w:p>
        </w:tc>
        <w:tc>
          <w:tcPr>
            <w:tcW w:w="909" w:type="dxa"/>
            <w:vAlign w:val="center"/>
          </w:tcPr>
          <w:p w14:paraId="5F6D98EA">
            <w:pPr>
              <w:jc w:val="center"/>
              <w:rPr>
                <w:rFonts w:ascii="宋体" w:hAnsi="宋体"/>
                <w:color w:val="000000" w:themeColor="text1"/>
                <w:sz w:val="21"/>
                <w:szCs w:val="21"/>
                <w14:textFill>
                  <w14:solidFill>
                    <w14:schemeClr w14:val="tx1"/>
                  </w14:solidFill>
                </w14:textFill>
              </w:rPr>
            </w:pPr>
          </w:p>
        </w:tc>
        <w:tc>
          <w:tcPr>
            <w:tcW w:w="2094" w:type="dxa"/>
            <w:vAlign w:val="center"/>
          </w:tcPr>
          <w:p w14:paraId="580D6C6F">
            <w:pPr>
              <w:jc w:val="center"/>
              <w:rPr>
                <w:rFonts w:ascii="宋体" w:hAnsi="宋体"/>
                <w:color w:val="000000" w:themeColor="text1"/>
                <w:sz w:val="21"/>
                <w:szCs w:val="21"/>
                <w14:textFill>
                  <w14:solidFill>
                    <w14:schemeClr w14:val="tx1"/>
                  </w14:solidFill>
                </w14:textFill>
              </w:rPr>
            </w:pPr>
          </w:p>
        </w:tc>
        <w:tc>
          <w:tcPr>
            <w:tcW w:w="962" w:type="dxa"/>
            <w:vAlign w:val="center"/>
          </w:tcPr>
          <w:p w14:paraId="12786A74">
            <w:pPr>
              <w:pStyle w:val="17"/>
              <w:rPr>
                <w:rFonts w:hAnsi="宋体"/>
                <w:color w:val="000000" w:themeColor="text1"/>
                <w:sz w:val="21"/>
                <w14:textFill>
                  <w14:solidFill>
                    <w14:schemeClr w14:val="tx1"/>
                  </w14:solidFill>
                </w14:textFill>
              </w:rPr>
            </w:pPr>
          </w:p>
        </w:tc>
        <w:tc>
          <w:tcPr>
            <w:tcW w:w="827" w:type="dxa"/>
            <w:vAlign w:val="center"/>
          </w:tcPr>
          <w:p w14:paraId="25729751">
            <w:pPr>
              <w:pStyle w:val="17"/>
              <w:rPr>
                <w:rFonts w:hAnsi="宋体"/>
                <w:color w:val="000000" w:themeColor="text1"/>
                <w:sz w:val="21"/>
                <w14:textFill>
                  <w14:solidFill>
                    <w14:schemeClr w14:val="tx1"/>
                  </w14:solidFill>
                </w14:textFill>
              </w:rPr>
            </w:pPr>
          </w:p>
        </w:tc>
        <w:tc>
          <w:tcPr>
            <w:tcW w:w="1299" w:type="dxa"/>
            <w:vAlign w:val="center"/>
          </w:tcPr>
          <w:p w14:paraId="7637B551">
            <w:pPr>
              <w:pStyle w:val="17"/>
              <w:rPr>
                <w:rFonts w:hAnsi="宋体"/>
                <w:color w:val="000000" w:themeColor="text1"/>
                <w:sz w:val="21"/>
                <w14:textFill>
                  <w14:solidFill>
                    <w14:schemeClr w14:val="tx1"/>
                  </w14:solidFill>
                </w14:textFill>
              </w:rPr>
            </w:pPr>
          </w:p>
        </w:tc>
        <w:tc>
          <w:tcPr>
            <w:tcW w:w="913" w:type="dxa"/>
            <w:vAlign w:val="center"/>
          </w:tcPr>
          <w:p w14:paraId="3CC7F0A4">
            <w:pPr>
              <w:pStyle w:val="17"/>
              <w:rPr>
                <w:rFonts w:hAnsi="宋体"/>
                <w:color w:val="000000" w:themeColor="text1"/>
                <w:spacing w:val="-6"/>
                <w:sz w:val="21"/>
                <w14:textFill>
                  <w14:solidFill>
                    <w14:schemeClr w14:val="tx1"/>
                  </w14:solidFill>
                </w14:textFill>
              </w:rPr>
            </w:pPr>
          </w:p>
        </w:tc>
      </w:tr>
      <w:tr w14:paraId="46E1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4" w:type="dxa"/>
            <w:vAlign w:val="center"/>
          </w:tcPr>
          <w:p w14:paraId="65B45452">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12</w:t>
            </w:r>
          </w:p>
        </w:tc>
        <w:tc>
          <w:tcPr>
            <w:tcW w:w="1347" w:type="dxa"/>
            <w:vAlign w:val="center"/>
          </w:tcPr>
          <w:p w14:paraId="5CD68ACD">
            <w:pPr>
              <w:jc w:val="center"/>
              <w:rPr>
                <w:rFonts w:ascii="宋体" w:hAnsi="宋体"/>
                <w:color w:val="000000" w:themeColor="text1"/>
                <w:sz w:val="21"/>
                <w:szCs w:val="21"/>
                <w14:textFill>
                  <w14:solidFill>
                    <w14:schemeClr w14:val="tx1"/>
                  </w14:solidFill>
                </w14:textFill>
              </w:rPr>
            </w:pPr>
          </w:p>
        </w:tc>
        <w:tc>
          <w:tcPr>
            <w:tcW w:w="909" w:type="dxa"/>
            <w:vAlign w:val="center"/>
          </w:tcPr>
          <w:p w14:paraId="42CD8CC5">
            <w:pPr>
              <w:jc w:val="center"/>
              <w:rPr>
                <w:rFonts w:ascii="宋体" w:hAnsi="宋体"/>
                <w:color w:val="000000" w:themeColor="text1"/>
                <w:sz w:val="21"/>
                <w:szCs w:val="21"/>
                <w14:textFill>
                  <w14:solidFill>
                    <w14:schemeClr w14:val="tx1"/>
                  </w14:solidFill>
                </w14:textFill>
              </w:rPr>
            </w:pPr>
          </w:p>
        </w:tc>
        <w:tc>
          <w:tcPr>
            <w:tcW w:w="2094" w:type="dxa"/>
            <w:vAlign w:val="center"/>
          </w:tcPr>
          <w:p w14:paraId="3285D090">
            <w:pPr>
              <w:jc w:val="center"/>
              <w:rPr>
                <w:rFonts w:ascii="宋体" w:hAnsi="宋体"/>
                <w:color w:val="000000" w:themeColor="text1"/>
                <w:sz w:val="21"/>
                <w:szCs w:val="21"/>
                <w14:textFill>
                  <w14:solidFill>
                    <w14:schemeClr w14:val="tx1"/>
                  </w14:solidFill>
                </w14:textFill>
              </w:rPr>
            </w:pPr>
          </w:p>
        </w:tc>
        <w:tc>
          <w:tcPr>
            <w:tcW w:w="962" w:type="dxa"/>
            <w:vAlign w:val="center"/>
          </w:tcPr>
          <w:p w14:paraId="12F917F1">
            <w:pPr>
              <w:pStyle w:val="17"/>
              <w:rPr>
                <w:rFonts w:hAnsi="宋体"/>
                <w:color w:val="000000" w:themeColor="text1"/>
                <w:sz w:val="21"/>
                <w14:textFill>
                  <w14:solidFill>
                    <w14:schemeClr w14:val="tx1"/>
                  </w14:solidFill>
                </w14:textFill>
              </w:rPr>
            </w:pPr>
          </w:p>
        </w:tc>
        <w:tc>
          <w:tcPr>
            <w:tcW w:w="827" w:type="dxa"/>
            <w:vAlign w:val="center"/>
          </w:tcPr>
          <w:p w14:paraId="5944F668">
            <w:pPr>
              <w:pStyle w:val="17"/>
              <w:rPr>
                <w:rFonts w:hAnsi="宋体"/>
                <w:color w:val="000000" w:themeColor="text1"/>
                <w:sz w:val="21"/>
                <w14:textFill>
                  <w14:solidFill>
                    <w14:schemeClr w14:val="tx1"/>
                  </w14:solidFill>
                </w14:textFill>
              </w:rPr>
            </w:pPr>
          </w:p>
        </w:tc>
        <w:tc>
          <w:tcPr>
            <w:tcW w:w="1299" w:type="dxa"/>
            <w:vAlign w:val="center"/>
          </w:tcPr>
          <w:p w14:paraId="4EFFED5A">
            <w:pPr>
              <w:pStyle w:val="17"/>
              <w:rPr>
                <w:rFonts w:hAnsi="宋体"/>
                <w:color w:val="000000" w:themeColor="text1"/>
                <w:sz w:val="21"/>
                <w14:textFill>
                  <w14:solidFill>
                    <w14:schemeClr w14:val="tx1"/>
                  </w14:solidFill>
                </w14:textFill>
              </w:rPr>
            </w:pPr>
          </w:p>
        </w:tc>
        <w:tc>
          <w:tcPr>
            <w:tcW w:w="913" w:type="dxa"/>
            <w:vAlign w:val="center"/>
          </w:tcPr>
          <w:p w14:paraId="076AF5B5">
            <w:pPr>
              <w:pStyle w:val="17"/>
              <w:rPr>
                <w:rFonts w:hAnsi="宋体"/>
                <w:color w:val="000000" w:themeColor="text1"/>
                <w:spacing w:val="-6"/>
                <w:sz w:val="21"/>
                <w14:textFill>
                  <w14:solidFill>
                    <w14:schemeClr w14:val="tx1"/>
                  </w14:solidFill>
                </w14:textFill>
              </w:rPr>
            </w:pPr>
          </w:p>
        </w:tc>
      </w:tr>
      <w:tr w14:paraId="07B1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84" w:type="dxa"/>
            <w:vAlign w:val="center"/>
          </w:tcPr>
          <w:p w14:paraId="79A8D22A">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13</w:t>
            </w:r>
          </w:p>
        </w:tc>
        <w:tc>
          <w:tcPr>
            <w:tcW w:w="1347" w:type="dxa"/>
            <w:vAlign w:val="center"/>
          </w:tcPr>
          <w:p w14:paraId="48CBF335">
            <w:pPr>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w:t>
            </w:r>
          </w:p>
        </w:tc>
        <w:tc>
          <w:tcPr>
            <w:tcW w:w="909" w:type="dxa"/>
            <w:vAlign w:val="center"/>
          </w:tcPr>
          <w:p w14:paraId="6BC21E0A">
            <w:pPr>
              <w:jc w:val="center"/>
              <w:rPr>
                <w:rFonts w:ascii="宋体" w:hAnsi="宋体"/>
                <w:color w:val="000000" w:themeColor="text1"/>
                <w:sz w:val="21"/>
                <w:szCs w:val="21"/>
                <w14:textFill>
                  <w14:solidFill>
                    <w14:schemeClr w14:val="tx1"/>
                  </w14:solidFill>
                </w14:textFill>
              </w:rPr>
            </w:pPr>
          </w:p>
        </w:tc>
        <w:tc>
          <w:tcPr>
            <w:tcW w:w="2094" w:type="dxa"/>
            <w:vAlign w:val="center"/>
          </w:tcPr>
          <w:p w14:paraId="7600DCAB">
            <w:pPr>
              <w:jc w:val="center"/>
              <w:rPr>
                <w:rFonts w:ascii="宋体" w:hAnsi="宋体"/>
                <w:color w:val="000000" w:themeColor="text1"/>
                <w:sz w:val="21"/>
                <w:szCs w:val="21"/>
                <w14:textFill>
                  <w14:solidFill>
                    <w14:schemeClr w14:val="tx1"/>
                  </w14:solidFill>
                </w14:textFill>
              </w:rPr>
            </w:pPr>
          </w:p>
        </w:tc>
        <w:tc>
          <w:tcPr>
            <w:tcW w:w="962" w:type="dxa"/>
            <w:vAlign w:val="center"/>
          </w:tcPr>
          <w:p w14:paraId="1F81EED3">
            <w:pPr>
              <w:pStyle w:val="17"/>
              <w:rPr>
                <w:rFonts w:hAnsi="宋体"/>
                <w:color w:val="000000" w:themeColor="text1"/>
                <w:sz w:val="21"/>
                <w14:textFill>
                  <w14:solidFill>
                    <w14:schemeClr w14:val="tx1"/>
                  </w14:solidFill>
                </w14:textFill>
              </w:rPr>
            </w:pPr>
          </w:p>
        </w:tc>
        <w:tc>
          <w:tcPr>
            <w:tcW w:w="827" w:type="dxa"/>
            <w:vAlign w:val="center"/>
          </w:tcPr>
          <w:p w14:paraId="4CAD6724">
            <w:pPr>
              <w:pStyle w:val="17"/>
              <w:rPr>
                <w:rFonts w:hAnsi="宋体"/>
                <w:color w:val="000000" w:themeColor="text1"/>
                <w:sz w:val="21"/>
                <w14:textFill>
                  <w14:solidFill>
                    <w14:schemeClr w14:val="tx1"/>
                  </w14:solidFill>
                </w14:textFill>
              </w:rPr>
            </w:pPr>
          </w:p>
        </w:tc>
        <w:tc>
          <w:tcPr>
            <w:tcW w:w="1299" w:type="dxa"/>
            <w:vAlign w:val="center"/>
          </w:tcPr>
          <w:p w14:paraId="46A260E4">
            <w:pPr>
              <w:pStyle w:val="17"/>
              <w:rPr>
                <w:rFonts w:hAnsi="宋体"/>
                <w:color w:val="000000" w:themeColor="text1"/>
                <w:sz w:val="21"/>
                <w14:textFill>
                  <w14:solidFill>
                    <w14:schemeClr w14:val="tx1"/>
                  </w14:solidFill>
                </w14:textFill>
              </w:rPr>
            </w:pPr>
          </w:p>
        </w:tc>
        <w:tc>
          <w:tcPr>
            <w:tcW w:w="913" w:type="dxa"/>
            <w:vAlign w:val="center"/>
          </w:tcPr>
          <w:p w14:paraId="29919C0E">
            <w:pPr>
              <w:pStyle w:val="17"/>
              <w:rPr>
                <w:rFonts w:hAnsi="宋体"/>
                <w:color w:val="000000" w:themeColor="text1"/>
                <w:spacing w:val="-6"/>
                <w:sz w:val="21"/>
                <w14:textFill>
                  <w14:solidFill>
                    <w14:schemeClr w14:val="tx1"/>
                  </w14:solidFill>
                </w14:textFill>
              </w:rPr>
            </w:pPr>
          </w:p>
        </w:tc>
      </w:tr>
    </w:tbl>
    <w:p w14:paraId="0C4958C4">
      <w:pPr>
        <w:spacing w:line="480" w:lineRule="exact"/>
        <w:rPr>
          <w:rFonts w:hint="eastAsia" w:ascii="宋体" w:hAnsi="宋体" w:eastAsia="宋体" w:cs="宋体"/>
          <w:bCs/>
          <w:kern w:val="0"/>
          <w:highlight w:val="none"/>
        </w:rPr>
      </w:pPr>
    </w:p>
    <w:p w14:paraId="460E77E9">
      <w:pPr>
        <w:spacing w:line="480" w:lineRule="exact"/>
        <w:rPr>
          <w:rFonts w:ascii="宋体" w:hAnsi="宋体" w:eastAsia="宋体" w:cs="宋体"/>
          <w:bCs/>
          <w:kern w:val="0"/>
          <w:highlight w:val="none"/>
        </w:rPr>
      </w:pPr>
      <w:r>
        <w:rPr>
          <w:rFonts w:hint="eastAsia" w:ascii="宋体" w:hAnsi="宋体" w:eastAsia="宋体" w:cs="宋体"/>
          <w:bCs/>
          <w:kern w:val="0"/>
          <w:highlight w:val="none"/>
        </w:rPr>
        <w:t>注：1、本表合计金额应与“第一次磋商报价表”磋商报价一致，如不一致按分项报价合计金额为准，同时应保证磋商响应文件的正、副本中仍有此表且一致。</w:t>
      </w:r>
    </w:p>
    <w:p w14:paraId="74CBAEE2">
      <w:pPr>
        <w:spacing w:line="480" w:lineRule="exact"/>
        <w:rPr>
          <w:rFonts w:ascii="宋体" w:hAnsi="宋体" w:eastAsia="宋体" w:cs="宋体"/>
          <w:bCs/>
          <w:kern w:val="0"/>
          <w:highlight w:val="none"/>
        </w:rPr>
      </w:pPr>
      <w:r>
        <w:rPr>
          <w:rFonts w:hint="eastAsia" w:ascii="宋体" w:hAnsi="宋体" w:eastAsia="宋体" w:cs="宋体"/>
          <w:bCs/>
          <w:kern w:val="0"/>
          <w:highlight w:val="none"/>
        </w:rPr>
        <w:t>2、报价精确到小数点后两位。</w:t>
      </w:r>
    </w:p>
    <w:p w14:paraId="4D80FFC5">
      <w:pPr>
        <w:spacing w:line="480" w:lineRule="exact"/>
        <w:rPr>
          <w:rFonts w:ascii="宋体" w:hAnsi="宋体" w:eastAsia="宋体" w:cs="宋体"/>
          <w:bCs/>
          <w:kern w:val="0"/>
          <w:highlight w:val="none"/>
        </w:rPr>
      </w:pPr>
    </w:p>
    <w:p w14:paraId="13C19A62">
      <w:pPr>
        <w:spacing w:line="480" w:lineRule="exact"/>
        <w:ind w:firstLine="2160" w:firstLineChars="900"/>
        <w:rPr>
          <w:rFonts w:ascii="宋体" w:hAnsi="宋体" w:eastAsia="宋体" w:cs="宋体"/>
          <w:bCs/>
          <w:kern w:val="0"/>
          <w:highlight w:val="none"/>
        </w:rPr>
      </w:pPr>
      <w:r>
        <w:rPr>
          <w:rFonts w:hint="eastAsia" w:ascii="宋体" w:hAnsi="宋体" w:eastAsia="宋体" w:cs="宋体"/>
          <w:bCs/>
          <w:kern w:val="0"/>
          <w:highlight w:val="none"/>
        </w:rPr>
        <w:t>供应商名称：</w:t>
      </w:r>
      <w:r>
        <w:rPr>
          <w:rFonts w:hint="eastAsia" w:ascii="宋体" w:hAnsi="宋体" w:eastAsia="宋体" w:cs="宋体"/>
          <w:bCs/>
          <w:kern w:val="0"/>
          <w:highlight w:val="none"/>
          <w:u w:val="single"/>
        </w:rPr>
        <w:t xml:space="preserve">                             </w:t>
      </w:r>
      <w:r>
        <w:rPr>
          <w:rFonts w:hint="eastAsia" w:ascii="宋体" w:hAnsi="宋体" w:eastAsia="宋体" w:cs="宋体"/>
          <w:bCs/>
          <w:kern w:val="0"/>
          <w:highlight w:val="none"/>
        </w:rPr>
        <w:t>（盖章）</w:t>
      </w:r>
    </w:p>
    <w:p w14:paraId="6E3793A4">
      <w:pPr>
        <w:spacing w:line="480" w:lineRule="exact"/>
        <w:ind w:firstLine="2160" w:firstLineChars="900"/>
        <w:rPr>
          <w:rFonts w:ascii="宋体" w:hAnsi="宋体" w:eastAsia="宋体" w:cs="宋体"/>
          <w:bCs/>
          <w:kern w:val="0"/>
          <w:highlight w:val="none"/>
        </w:rPr>
      </w:pPr>
      <w:r>
        <w:rPr>
          <w:rFonts w:hint="eastAsia" w:ascii="宋体" w:hAnsi="宋体" w:eastAsia="宋体" w:cs="宋体"/>
          <w:bCs/>
          <w:kern w:val="0"/>
          <w:highlight w:val="none"/>
        </w:rPr>
        <w:t>法定代表人或授权代表：</w:t>
      </w:r>
      <w:r>
        <w:rPr>
          <w:rFonts w:hint="eastAsia" w:ascii="宋体" w:hAnsi="宋体" w:eastAsia="宋体" w:cs="宋体"/>
          <w:bCs/>
          <w:kern w:val="0"/>
          <w:highlight w:val="none"/>
          <w:u w:val="single"/>
        </w:rPr>
        <w:t xml:space="preserve">            </w:t>
      </w:r>
      <w:r>
        <w:rPr>
          <w:rFonts w:hint="eastAsia" w:ascii="宋体" w:hAnsi="宋体" w:eastAsia="宋体" w:cs="宋体"/>
          <w:highlight w:val="none"/>
        </w:rPr>
        <w:t>（签字或盖章）</w:t>
      </w:r>
    </w:p>
    <w:p w14:paraId="3B9D130F">
      <w:pPr>
        <w:spacing w:line="480" w:lineRule="exact"/>
        <w:ind w:firstLine="2160" w:firstLineChars="900"/>
        <w:rPr>
          <w:rFonts w:ascii="宋体" w:hAnsi="宋体" w:eastAsia="宋体" w:cs="宋体"/>
          <w:bCs/>
          <w:kern w:val="0"/>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0DA876F5">
      <w:pPr>
        <w:pStyle w:val="22"/>
        <w:rPr>
          <w:highlight w:val="none"/>
        </w:rPr>
      </w:pPr>
    </w:p>
    <w:p w14:paraId="44E00890">
      <w:pPr>
        <w:jc w:val="center"/>
        <w:rPr>
          <w:rFonts w:hint="eastAsia" w:ascii="宋体" w:hAnsi="宋体" w:eastAsia="宋体" w:cs="宋体"/>
          <w:b/>
          <w:color w:val="000000" w:themeColor="text1"/>
          <w:kern w:val="0"/>
          <w:sz w:val="28"/>
          <w:highlight w:val="none"/>
          <w14:textFill>
            <w14:solidFill>
              <w14:schemeClr w14:val="tx1"/>
            </w14:solidFill>
          </w14:textFill>
        </w:rPr>
      </w:pPr>
    </w:p>
    <w:p w14:paraId="603A9EB3">
      <w:pPr>
        <w:jc w:val="center"/>
        <w:rPr>
          <w:rFonts w:hint="eastAsia" w:ascii="宋体" w:hAnsi="宋体" w:eastAsia="宋体" w:cs="宋体"/>
          <w:b/>
          <w:color w:val="000000" w:themeColor="text1"/>
          <w:kern w:val="0"/>
          <w:sz w:val="28"/>
          <w:highlight w:val="none"/>
          <w14:textFill>
            <w14:solidFill>
              <w14:schemeClr w14:val="tx1"/>
            </w14:solidFill>
          </w14:textFill>
        </w:rPr>
      </w:pPr>
    </w:p>
    <w:p w14:paraId="5F8692C2">
      <w:pPr>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t>3. 技术</w:t>
      </w:r>
      <w:r>
        <w:rPr>
          <w:rFonts w:hint="eastAsia" w:ascii="宋体" w:hAnsi="宋体" w:eastAsia="宋体" w:cs="宋体"/>
          <w:b/>
          <w:color w:val="000000" w:themeColor="text1"/>
          <w:kern w:val="0"/>
          <w:sz w:val="28"/>
          <w:highlight w:val="none"/>
          <w:lang w:val="en-US" w:eastAsia="zh-CN"/>
          <w14:textFill>
            <w14:solidFill>
              <w14:schemeClr w14:val="tx1"/>
            </w14:solidFill>
          </w14:textFill>
        </w:rPr>
        <w:t>条款</w:t>
      </w:r>
      <w:r>
        <w:rPr>
          <w:rFonts w:hint="eastAsia" w:ascii="宋体" w:hAnsi="宋体" w:eastAsia="宋体" w:cs="宋体"/>
          <w:b/>
          <w:color w:val="000000" w:themeColor="text1"/>
          <w:kern w:val="0"/>
          <w:sz w:val="28"/>
          <w:highlight w:val="none"/>
          <w14:textFill>
            <w14:solidFill>
              <w14:schemeClr w14:val="tx1"/>
            </w14:solidFill>
          </w14:textFill>
        </w:rPr>
        <w:t>偏</w:t>
      </w:r>
      <w:r>
        <w:rPr>
          <w:rFonts w:hint="eastAsia" w:ascii="宋体" w:hAnsi="宋体" w:eastAsia="宋体" w:cs="宋体"/>
          <w:b/>
          <w:color w:val="000000" w:themeColor="text1"/>
          <w:kern w:val="0"/>
          <w:sz w:val="28"/>
          <w:highlight w:val="none"/>
          <w:lang w:val="en-US" w:eastAsia="zh-CN"/>
          <w14:textFill>
            <w14:solidFill>
              <w14:schemeClr w14:val="tx1"/>
            </w14:solidFill>
          </w14:textFill>
        </w:rPr>
        <w:t>差</w:t>
      </w:r>
      <w:r>
        <w:rPr>
          <w:rFonts w:hint="eastAsia" w:ascii="宋体" w:hAnsi="宋体" w:eastAsia="宋体" w:cs="宋体"/>
          <w:b/>
          <w:color w:val="000000" w:themeColor="text1"/>
          <w:kern w:val="0"/>
          <w:sz w:val="28"/>
          <w:highlight w:val="none"/>
          <w14:textFill>
            <w14:solidFill>
              <w14:schemeClr w14:val="tx1"/>
            </w14:solidFill>
          </w14:textFill>
        </w:rPr>
        <w:t>表</w:t>
      </w:r>
    </w:p>
    <w:p w14:paraId="158B791E">
      <w:pPr>
        <w:spacing w:line="480" w:lineRule="exact"/>
        <w:ind w:firstLine="480" w:firstLineChars="200"/>
        <w:rPr>
          <w:rFonts w:ascii="宋体" w:hAnsi="宋体" w:eastAsia="宋体" w:cs="宋体"/>
          <w:highlight w:val="none"/>
        </w:rPr>
      </w:pPr>
    </w:p>
    <w:bookmarkEnd w:id="105"/>
    <w:bookmarkEnd w:id="106"/>
    <w:bookmarkEnd w:id="107"/>
    <w:p w14:paraId="7C52D10E">
      <w:pPr>
        <w:tabs>
          <w:tab w:val="left" w:pos="7920"/>
        </w:tabs>
        <w:kinsoku w:val="0"/>
        <w:spacing w:line="500" w:lineRule="exact"/>
        <w:rPr>
          <w:rFonts w:ascii="宋体" w:hAnsi="宋体" w:eastAsia="宋体" w:cs="宋体"/>
          <w:color w:val="000000"/>
          <w:szCs w:val="24"/>
          <w:highlight w:val="none"/>
        </w:rPr>
      </w:pPr>
      <w:bookmarkStart w:id="112" w:name="_Toc188808839"/>
      <w:bookmarkStart w:id="113" w:name="_Toc193126888"/>
      <w:bookmarkStart w:id="114" w:name="_Toc237"/>
      <w:bookmarkStart w:id="115" w:name="_Toc13908"/>
      <w:bookmarkStart w:id="116" w:name="_Toc194663925"/>
      <w:bookmarkStart w:id="117" w:name="_Toc458617477"/>
      <w:bookmarkStart w:id="118" w:name="_Toc193187104"/>
      <w:r>
        <w:rPr>
          <w:rFonts w:hint="eastAsia" w:ascii="宋体" w:hAnsi="宋体" w:eastAsia="宋体" w:cs="宋体"/>
          <w:color w:val="000000"/>
          <w:szCs w:val="24"/>
          <w:highlight w:val="none"/>
        </w:rPr>
        <w:t xml:space="preserve">项目名称：                                          </w:t>
      </w:r>
      <w:r>
        <w:rPr>
          <w:rFonts w:hint="eastAsia" w:ascii="宋体" w:hAnsi="宋体" w:eastAsia="宋体" w:cs="宋体"/>
          <w:color w:val="000000"/>
          <w:szCs w:val="24"/>
          <w:highlight w:val="none"/>
        </w:rPr>
        <w:tab/>
      </w:r>
    </w:p>
    <w:p w14:paraId="7C1E7F23">
      <w:pPr>
        <w:kinsoku w:val="0"/>
        <w:spacing w:line="500" w:lineRule="exact"/>
        <w:ind w:left="-137" w:leftChars="-57" w:firstLine="120" w:firstLineChars="50"/>
        <w:rPr>
          <w:rFonts w:ascii="宋体" w:hAnsi="宋体" w:eastAsia="宋体" w:cs="宋体"/>
          <w:color w:val="000000"/>
          <w:szCs w:val="24"/>
          <w:highlight w:val="none"/>
        </w:rPr>
      </w:pPr>
      <w:r>
        <w:rPr>
          <w:rFonts w:hint="eastAsia" w:ascii="宋体" w:hAnsi="宋体" w:eastAsia="宋体" w:cs="宋体"/>
          <w:color w:val="000000"/>
          <w:szCs w:val="24"/>
          <w:highlight w:val="none"/>
        </w:rPr>
        <w:t>项目编号：                                        共   页，第   页</w:t>
      </w:r>
    </w:p>
    <w:tbl>
      <w:tblPr>
        <w:tblStyle w:val="37"/>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2"/>
        <w:gridCol w:w="2758"/>
        <w:gridCol w:w="2171"/>
        <w:gridCol w:w="1255"/>
      </w:tblGrid>
      <w:tr w14:paraId="27DD1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11" w:type="dxa"/>
            <w:vAlign w:val="center"/>
          </w:tcPr>
          <w:p w14:paraId="73D96F1D">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序号</w:t>
            </w:r>
          </w:p>
        </w:tc>
        <w:tc>
          <w:tcPr>
            <w:tcW w:w="1962" w:type="dxa"/>
            <w:vAlign w:val="center"/>
          </w:tcPr>
          <w:p w14:paraId="77B2C13C">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名称</w:t>
            </w:r>
          </w:p>
        </w:tc>
        <w:tc>
          <w:tcPr>
            <w:tcW w:w="2758" w:type="dxa"/>
            <w:vAlign w:val="center"/>
          </w:tcPr>
          <w:p w14:paraId="2902DA14">
            <w:pPr>
              <w:pStyle w:val="17"/>
              <w:spacing w:line="400" w:lineRule="exact"/>
              <w:jc w:val="center"/>
              <w:rPr>
                <w:rFonts w:hint="default" w:hAnsi="宋体" w:eastAsia="宋体" w:cs="宋体"/>
                <w:color w:val="000000"/>
                <w:szCs w:val="24"/>
                <w:highlight w:val="none"/>
                <w:lang w:val="en-US" w:eastAsia="zh-CN"/>
              </w:rPr>
            </w:pPr>
            <w:r>
              <w:rPr>
                <w:rFonts w:hint="eastAsia" w:hAnsi="宋体" w:eastAsia="宋体" w:cs="宋体"/>
                <w:color w:val="000000"/>
                <w:szCs w:val="24"/>
                <w:highlight w:val="none"/>
              </w:rPr>
              <w:t>磋商文件要求</w:t>
            </w:r>
            <w:r>
              <w:rPr>
                <w:rFonts w:hint="eastAsia" w:hAnsi="宋体" w:eastAsia="宋体" w:cs="宋体"/>
                <w:color w:val="000000"/>
                <w:szCs w:val="24"/>
                <w:highlight w:val="none"/>
                <w:lang w:val="en-US" w:eastAsia="zh-CN"/>
              </w:rPr>
              <w:t>技术条款</w:t>
            </w:r>
          </w:p>
        </w:tc>
        <w:tc>
          <w:tcPr>
            <w:tcW w:w="2171" w:type="dxa"/>
            <w:vAlign w:val="center"/>
          </w:tcPr>
          <w:p w14:paraId="00A5422C">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磋商</w:t>
            </w:r>
            <w:r>
              <w:rPr>
                <w:rFonts w:hint="eastAsia" w:hAnsi="宋体" w:eastAsia="宋体" w:cs="宋体"/>
                <w:color w:val="000000"/>
                <w:szCs w:val="24"/>
                <w:highlight w:val="none"/>
                <w:lang w:val="en-US" w:eastAsia="zh-CN"/>
              </w:rPr>
              <w:t>响</w:t>
            </w:r>
            <w:r>
              <w:rPr>
                <w:rFonts w:hint="eastAsia" w:hAnsi="宋体" w:eastAsia="宋体" w:cs="宋体"/>
                <w:color w:val="000000"/>
                <w:szCs w:val="24"/>
                <w:highlight w:val="none"/>
              </w:rPr>
              <w:t>应</w:t>
            </w:r>
            <w:r>
              <w:rPr>
                <w:rFonts w:hint="eastAsia" w:hAnsi="宋体" w:eastAsia="宋体" w:cs="宋体"/>
                <w:color w:val="000000"/>
                <w:szCs w:val="24"/>
                <w:highlight w:val="none"/>
                <w:lang w:val="en-US" w:eastAsia="zh-CN"/>
              </w:rPr>
              <w:t>技术条款</w:t>
            </w:r>
          </w:p>
        </w:tc>
        <w:tc>
          <w:tcPr>
            <w:tcW w:w="1255" w:type="dxa"/>
            <w:vAlign w:val="center"/>
          </w:tcPr>
          <w:p w14:paraId="4F86CFED">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偏差说明</w:t>
            </w:r>
          </w:p>
        </w:tc>
      </w:tr>
      <w:tr w14:paraId="1BDF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3410B764">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6B7684D0">
            <w:pPr>
              <w:pStyle w:val="17"/>
              <w:spacing w:line="400" w:lineRule="exact"/>
              <w:jc w:val="center"/>
              <w:rPr>
                <w:rFonts w:hAnsi="宋体" w:eastAsia="宋体" w:cs="宋体"/>
                <w:color w:val="000000"/>
                <w:szCs w:val="24"/>
                <w:highlight w:val="none"/>
              </w:rPr>
            </w:pPr>
          </w:p>
        </w:tc>
        <w:tc>
          <w:tcPr>
            <w:tcW w:w="2758" w:type="dxa"/>
            <w:vAlign w:val="center"/>
          </w:tcPr>
          <w:p w14:paraId="7EE1AE9A">
            <w:pPr>
              <w:pStyle w:val="17"/>
              <w:spacing w:line="600" w:lineRule="exact"/>
              <w:rPr>
                <w:rFonts w:hAnsi="宋体" w:eastAsia="宋体" w:cs="宋体"/>
                <w:color w:val="000000"/>
                <w:szCs w:val="24"/>
                <w:highlight w:val="none"/>
              </w:rPr>
            </w:pPr>
          </w:p>
        </w:tc>
        <w:tc>
          <w:tcPr>
            <w:tcW w:w="2171" w:type="dxa"/>
            <w:vAlign w:val="center"/>
          </w:tcPr>
          <w:p w14:paraId="662089DC">
            <w:pPr>
              <w:pStyle w:val="17"/>
              <w:spacing w:line="600" w:lineRule="exact"/>
              <w:rPr>
                <w:rFonts w:hAnsi="宋体" w:eastAsia="宋体" w:cs="宋体"/>
                <w:color w:val="000000"/>
                <w:szCs w:val="24"/>
                <w:highlight w:val="none"/>
              </w:rPr>
            </w:pPr>
          </w:p>
        </w:tc>
        <w:tc>
          <w:tcPr>
            <w:tcW w:w="1255" w:type="dxa"/>
            <w:vAlign w:val="center"/>
          </w:tcPr>
          <w:p w14:paraId="09596D5E">
            <w:pPr>
              <w:pStyle w:val="17"/>
              <w:spacing w:line="600" w:lineRule="exact"/>
              <w:rPr>
                <w:rFonts w:hAnsi="宋体" w:eastAsia="宋体" w:cs="宋体"/>
                <w:color w:val="000000"/>
                <w:szCs w:val="24"/>
                <w:highlight w:val="none"/>
              </w:rPr>
            </w:pPr>
          </w:p>
        </w:tc>
      </w:tr>
      <w:tr w14:paraId="6482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1AB25B79">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545A6E64">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2B7BC0CB">
            <w:pPr>
              <w:pStyle w:val="17"/>
              <w:spacing w:line="600" w:lineRule="exact"/>
              <w:rPr>
                <w:rFonts w:hAnsi="宋体" w:eastAsia="宋体" w:cs="宋体"/>
                <w:color w:val="000000"/>
                <w:szCs w:val="24"/>
                <w:highlight w:val="none"/>
              </w:rPr>
            </w:pPr>
          </w:p>
        </w:tc>
        <w:tc>
          <w:tcPr>
            <w:tcW w:w="2171" w:type="dxa"/>
          </w:tcPr>
          <w:p w14:paraId="2E893A05">
            <w:pPr>
              <w:pStyle w:val="17"/>
              <w:spacing w:line="600" w:lineRule="exact"/>
              <w:rPr>
                <w:rFonts w:hAnsi="宋体" w:eastAsia="宋体" w:cs="宋体"/>
                <w:color w:val="000000"/>
                <w:szCs w:val="24"/>
                <w:highlight w:val="none"/>
              </w:rPr>
            </w:pPr>
          </w:p>
        </w:tc>
        <w:tc>
          <w:tcPr>
            <w:tcW w:w="1255" w:type="dxa"/>
          </w:tcPr>
          <w:p w14:paraId="248A7C5D">
            <w:pPr>
              <w:pStyle w:val="17"/>
              <w:spacing w:line="600" w:lineRule="exact"/>
              <w:rPr>
                <w:rFonts w:hAnsi="宋体" w:eastAsia="宋体" w:cs="宋体"/>
                <w:color w:val="000000"/>
                <w:szCs w:val="24"/>
                <w:highlight w:val="none"/>
              </w:rPr>
            </w:pPr>
          </w:p>
        </w:tc>
      </w:tr>
      <w:tr w14:paraId="3A64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13AD5816">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4DCB22E5">
            <w:pPr>
              <w:pStyle w:val="17"/>
              <w:spacing w:line="600" w:lineRule="exact"/>
              <w:jc w:val="center"/>
              <w:rPr>
                <w:rFonts w:hint="eastAsia" w:hAnsi="宋体" w:eastAsia="宋体" w:cs="宋体"/>
                <w:color w:val="000000"/>
                <w:szCs w:val="24"/>
                <w:highlight w:val="none"/>
                <w:lang w:val="en-US" w:eastAsia="zh-CN"/>
              </w:rPr>
            </w:pPr>
          </w:p>
        </w:tc>
        <w:tc>
          <w:tcPr>
            <w:tcW w:w="2758" w:type="dxa"/>
          </w:tcPr>
          <w:p w14:paraId="270AD87A">
            <w:pPr>
              <w:pStyle w:val="17"/>
              <w:spacing w:line="600" w:lineRule="exact"/>
              <w:rPr>
                <w:rFonts w:hAnsi="宋体" w:eastAsia="宋体" w:cs="宋体"/>
                <w:color w:val="000000"/>
                <w:szCs w:val="24"/>
                <w:highlight w:val="none"/>
              </w:rPr>
            </w:pPr>
          </w:p>
        </w:tc>
        <w:tc>
          <w:tcPr>
            <w:tcW w:w="2171" w:type="dxa"/>
          </w:tcPr>
          <w:p w14:paraId="04ED7E32">
            <w:pPr>
              <w:pStyle w:val="17"/>
              <w:spacing w:line="600" w:lineRule="exact"/>
              <w:rPr>
                <w:rFonts w:hAnsi="宋体" w:eastAsia="宋体" w:cs="宋体"/>
                <w:color w:val="000000"/>
                <w:szCs w:val="24"/>
                <w:highlight w:val="none"/>
              </w:rPr>
            </w:pPr>
          </w:p>
        </w:tc>
        <w:tc>
          <w:tcPr>
            <w:tcW w:w="1255" w:type="dxa"/>
          </w:tcPr>
          <w:p w14:paraId="23534ECF">
            <w:pPr>
              <w:pStyle w:val="17"/>
              <w:spacing w:line="600" w:lineRule="exact"/>
              <w:rPr>
                <w:rFonts w:hAnsi="宋体" w:eastAsia="宋体" w:cs="宋体"/>
                <w:color w:val="000000"/>
                <w:szCs w:val="24"/>
                <w:highlight w:val="none"/>
              </w:rPr>
            </w:pPr>
          </w:p>
        </w:tc>
      </w:tr>
      <w:tr w14:paraId="0A39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3BC65007">
            <w:pPr>
              <w:pStyle w:val="17"/>
              <w:spacing w:line="600" w:lineRule="exact"/>
              <w:jc w:val="center"/>
              <w:rPr>
                <w:rFonts w:hint="eastAsia" w:hAnsi="宋体" w:eastAsia="宋体" w:cs="宋体"/>
                <w:color w:val="000000"/>
                <w:szCs w:val="24"/>
                <w:highlight w:val="none"/>
                <w:lang w:val="en-US" w:eastAsia="zh-CN"/>
              </w:rPr>
            </w:pPr>
          </w:p>
        </w:tc>
        <w:tc>
          <w:tcPr>
            <w:tcW w:w="1962" w:type="dxa"/>
          </w:tcPr>
          <w:p w14:paraId="54711B98">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134481E4">
            <w:pPr>
              <w:pStyle w:val="17"/>
              <w:spacing w:line="600" w:lineRule="exact"/>
              <w:rPr>
                <w:rFonts w:hAnsi="宋体" w:eastAsia="宋体" w:cs="宋体"/>
                <w:color w:val="000000"/>
                <w:szCs w:val="24"/>
                <w:highlight w:val="none"/>
              </w:rPr>
            </w:pPr>
          </w:p>
        </w:tc>
        <w:tc>
          <w:tcPr>
            <w:tcW w:w="2171" w:type="dxa"/>
          </w:tcPr>
          <w:p w14:paraId="0760E063">
            <w:pPr>
              <w:pStyle w:val="17"/>
              <w:spacing w:line="600" w:lineRule="exact"/>
              <w:rPr>
                <w:rFonts w:hAnsi="宋体" w:eastAsia="宋体" w:cs="宋体"/>
                <w:color w:val="000000"/>
                <w:szCs w:val="24"/>
                <w:highlight w:val="none"/>
              </w:rPr>
            </w:pPr>
          </w:p>
        </w:tc>
        <w:tc>
          <w:tcPr>
            <w:tcW w:w="1255" w:type="dxa"/>
          </w:tcPr>
          <w:p w14:paraId="7915B656">
            <w:pPr>
              <w:pStyle w:val="17"/>
              <w:spacing w:line="600" w:lineRule="exact"/>
              <w:rPr>
                <w:rFonts w:hAnsi="宋体" w:eastAsia="宋体" w:cs="宋体"/>
                <w:color w:val="000000"/>
                <w:szCs w:val="24"/>
                <w:highlight w:val="none"/>
              </w:rPr>
            </w:pPr>
          </w:p>
        </w:tc>
      </w:tr>
      <w:tr w14:paraId="5F86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top"/>
          </w:tcPr>
          <w:p w14:paraId="6065D44E">
            <w:pPr>
              <w:pStyle w:val="17"/>
              <w:spacing w:line="600" w:lineRule="exact"/>
              <w:jc w:val="center"/>
              <w:rPr>
                <w:rFonts w:hAnsi="宋体" w:eastAsia="宋体" w:cs="宋体"/>
                <w:color w:val="000000"/>
                <w:szCs w:val="24"/>
                <w:highlight w:val="none"/>
              </w:rPr>
            </w:pPr>
          </w:p>
        </w:tc>
        <w:tc>
          <w:tcPr>
            <w:tcW w:w="1962" w:type="dxa"/>
            <w:vAlign w:val="top"/>
          </w:tcPr>
          <w:p w14:paraId="2DD10243">
            <w:pPr>
              <w:pStyle w:val="17"/>
              <w:spacing w:line="600" w:lineRule="exact"/>
              <w:jc w:val="center"/>
              <w:rPr>
                <w:rFonts w:hAnsi="宋体" w:eastAsia="宋体" w:cs="宋体"/>
                <w:color w:val="000000"/>
                <w:szCs w:val="24"/>
                <w:highlight w:val="none"/>
              </w:rPr>
            </w:pPr>
          </w:p>
        </w:tc>
        <w:tc>
          <w:tcPr>
            <w:tcW w:w="2758" w:type="dxa"/>
          </w:tcPr>
          <w:p w14:paraId="03563958">
            <w:pPr>
              <w:pStyle w:val="17"/>
              <w:spacing w:line="600" w:lineRule="exact"/>
              <w:rPr>
                <w:rFonts w:hAnsi="宋体" w:eastAsia="宋体" w:cs="宋体"/>
                <w:color w:val="000000"/>
                <w:szCs w:val="24"/>
                <w:highlight w:val="none"/>
              </w:rPr>
            </w:pPr>
          </w:p>
        </w:tc>
        <w:tc>
          <w:tcPr>
            <w:tcW w:w="2171" w:type="dxa"/>
          </w:tcPr>
          <w:p w14:paraId="14EF19F1">
            <w:pPr>
              <w:pStyle w:val="17"/>
              <w:spacing w:line="600" w:lineRule="exact"/>
              <w:rPr>
                <w:rFonts w:hAnsi="宋体" w:eastAsia="宋体" w:cs="宋体"/>
                <w:color w:val="000000"/>
                <w:szCs w:val="24"/>
                <w:highlight w:val="none"/>
              </w:rPr>
            </w:pPr>
          </w:p>
        </w:tc>
        <w:tc>
          <w:tcPr>
            <w:tcW w:w="1255" w:type="dxa"/>
          </w:tcPr>
          <w:p w14:paraId="4A6A1B6A">
            <w:pPr>
              <w:pStyle w:val="17"/>
              <w:spacing w:line="600" w:lineRule="exact"/>
              <w:rPr>
                <w:rFonts w:hAnsi="宋体" w:eastAsia="宋体" w:cs="宋体"/>
                <w:color w:val="000000"/>
                <w:szCs w:val="24"/>
                <w:highlight w:val="none"/>
              </w:rPr>
            </w:pPr>
          </w:p>
        </w:tc>
      </w:tr>
      <w:tr w14:paraId="22BC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204FA035">
            <w:pPr>
              <w:pStyle w:val="17"/>
              <w:spacing w:line="600" w:lineRule="exact"/>
              <w:rPr>
                <w:rFonts w:hAnsi="宋体" w:eastAsia="宋体" w:cs="宋体"/>
                <w:color w:val="000000"/>
                <w:szCs w:val="24"/>
                <w:highlight w:val="none"/>
              </w:rPr>
            </w:pPr>
          </w:p>
        </w:tc>
        <w:tc>
          <w:tcPr>
            <w:tcW w:w="1962" w:type="dxa"/>
          </w:tcPr>
          <w:p w14:paraId="7601120B">
            <w:pPr>
              <w:pStyle w:val="17"/>
              <w:spacing w:line="600" w:lineRule="exact"/>
              <w:rPr>
                <w:rFonts w:hAnsi="宋体" w:eastAsia="宋体" w:cs="宋体"/>
                <w:color w:val="000000"/>
                <w:szCs w:val="24"/>
                <w:highlight w:val="none"/>
              </w:rPr>
            </w:pPr>
          </w:p>
        </w:tc>
        <w:tc>
          <w:tcPr>
            <w:tcW w:w="2758" w:type="dxa"/>
          </w:tcPr>
          <w:p w14:paraId="6BC37AD4">
            <w:pPr>
              <w:pStyle w:val="17"/>
              <w:spacing w:line="600" w:lineRule="exact"/>
              <w:rPr>
                <w:rFonts w:hAnsi="宋体" w:eastAsia="宋体" w:cs="宋体"/>
                <w:color w:val="000000"/>
                <w:szCs w:val="24"/>
                <w:highlight w:val="none"/>
              </w:rPr>
            </w:pPr>
          </w:p>
        </w:tc>
        <w:tc>
          <w:tcPr>
            <w:tcW w:w="2171" w:type="dxa"/>
          </w:tcPr>
          <w:p w14:paraId="50696A85">
            <w:pPr>
              <w:pStyle w:val="17"/>
              <w:spacing w:line="600" w:lineRule="exact"/>
              <w:rPr>
                <w:rFonts w:hAnsi="宋体" w:eastAsia="宋体" w:cs="宋体"/>
                <w:color w:val="000000"/>
                <w:szCs w:val="24"/>
                <w:highlight w:val="none"/>
              </w:rPr>
            </w:pPr>
          </w:p>
        </w:tc>
        <w:tc>
          <w:tcPr>
            <w:tcW w:w="1255" w:type="dxa"/>
          </w:tcPr>
          <w:p w14:paraId="454ECE1F">
            <w:pPr>
              <w:pStyle w:val="17"/>
              <w:spacing w:line="600" w:lineRule="exact"/>
              <w:rPr>
                <w:rFonts w:hAnsi="宋体" w:eastAsia="宋体" w:cs="宋体"/>
                <w:color w:val="000000"/>
                <w:szCs w:val="24"/>
                <w:highlight w:val="none"/>
              </w:rPr>
            </w:pPr>
          </w:p>
        </w:tc>
      </w:tr>
      <w:tr w14:paraId="77E9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5FF5A64">
            <w:pPr>
              <w:pStyle w:val="17"/>
              <w:spacing w:line="600" w:lineRule="exact"/>
              <w:rPr>
                <w:rFonts w:hAnsi="宋体" w:eastAsia="宋体" w:cs="宋体"/>
                <w:color w:val="000000"/>
                <w:szCs w:val="24"/>
                <w:highlight w:val="none"/>
              </w:rPr>
            </w:pPr>
          </w:p>
        </w:tc>
        <w:tc>
          <w:tcPr>
            <w:tcW w:w="1962" w:type="dxa"/>
          </w:tcPr>
          <w:p w14:paraId="6116D049">
            <w:pPr>
              <w:pStyle w:val="17"/>
              <w:spacing w:line="600" w:lineRule="exact"/>
              <w:rPr>
                <w:rFonts w:hAnsi="宋体" w:eastAsia="宋体" w:cs="宋体"/>
                <w:color w:val="000000"/>
                <w:szCs w:val="24"/>
                <w:highlight w:val="none"/>
              </w:rPr>
            </w:pPr>
          </w:p>
        </w:tc>
        <w:tc>
          <w:tcPr>
            <w:tcW w:w="2758" w:type="dxa"/>
          </w:tcPr>
          <w:p w14:paraId="15255D7A">
            <w:pPr>
              <w:pStyle w:val="17"/>
              <w:spacing w:line="600" w:lineRule="exact"/>
              <w:rPr>
                <w:rFonts w:hAnsi="宋体" w:eastAsia="宋体" w:cs="宋体"/>
                <w:color w:val="000000"/>
                <w:szCs w:val="24"/>
                <w:highlight w:val="none"/>
              </w:rPr>
            </w:pPr>
          </w:p>
        </w:tc>
        <w:tc>
          <w:tcPr>
            <w:tcW w:w="2171" w:type="dxa"/>
          </w:tcPr>
          <w:p w14:paraId="4CDE42E9">
            <w:pPr>
              <w:pStyle w:val="17"/>
              <w:spacing w:line="600" w:lineRule="exact"/>
              <w:rPr>
                <w:rFonts w:hAnsi="宋体" w:eastAsia="宋体" w:cs="宋体"/>
                <w:color w:val="000000"/>
                <w:szCs w:val="24"/>
                <w:highlight w:val="none"/>
              </w:rPr>
            </w:pPr>
          </w:p>
        </w:tc>
        <w:tc>
          <w:tcPr>
            <w:tcW w:w="1255" w:type="dxa"/>
          </w:tcPr>
          <w:p w14:paraId="2985E76F">
            <w:pPr>
              <w:pStyle w:val="17"/>
              <w:spacing w:line="600" w:lineRule="exact"/>
              <w:rPr>
                <w:rFonts w:hAnsi="宋体" w:eastAsia="宋体" w:cs="宋体"/>
                <w:color w:val="000000"/>
                <w:szCs w:val="24"/>
                <w:highlight w:val="none"/>
              </w:rPr>
            </w:pPr>
          </w:p>
        </w:tc>
      </w:tr>
      <w:tr w14:paraId="3F33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0DD1DB1">
            <w:pPr>
              <w:pStyle w:val="17"/>
              <w:spacing w:line="600" w:lineRule="exact"/>
              <w:rPr>
                <w:rFonts w:hAnsi="宋体" w:eastAsia="宋体" w:cs="宋体"/>
                <w:color w:val="000000"/>
                <w:szCs w:val="24"/>
                <w:highlight w:val="none"/>
              </w:rPr>
            </w:pPr>
          </w:p>
        </w:tc>
        <w:tc>
          <w:tcPr>
            <w:tcW w:w="1962" w:type="dxa"/>
          </w:tcPr>
          <w:p w14:paraId="350C821F">
            <w:pPr>
              <w:pStyle w:val="17"/>
              <w:spacing w:line="600" w:lineRule="exact"/>
              <w:rPr>
                <w:rFonts w:hAnsi="宋体" w:eastAsia="宋体" w:cs="宋体"/>
                <w:color w:val="000000"/>
                <w:szCs w:val="24"/>
                <w:highlight w:val="none"/>
              </w:rPr>
            </w:pPr>
          </w:p>
        </w:tc>
        <w:tc>
          <w:tcPr>
            <w:tcW w:w="2758" w:type="dxa"/>
          </w:tcPr>
          <w:p w14:paraId="1102E2D5">
            <w:pPr>
              <w:pStyle w:val="17"/>
              <w:spacing w:line="600" w:lineRule="exact"/>
              <w:rPr>
                <w:rFonts w:hAnsi="宋体" w:eastAsia="宋体" w:cs="宋体"/>
                <w:color w:val="000000"/>
                <w:szCs w:val="24"/>
                <w:highlight w:val="none"/>
              </w:rPr>
            </w:pPr>
          </w:p>
        </w:tc>
        <w:tc>
          <w:tcPr>
            <w:tcW w:w="2171" w:type="dxa"/>
          </w:tcPr>
          <w:p w14:paraId="09D8B317">
            <w:pPr>
              <w:pStyle w:val="17"/>
              <w:spacing w:line="600" w:lineRule="exact"/>
              <w:rPr>
                <w:rFonts w:hAnsi="宋体" w:eastAsia="宋体" w:cs="宋体"/>
                <w:color w:val="000000"/>
                <w:szCs w:val="24"/>
                <w:highlight w:val="none"/>
              </w:rPr>
            </w:pPr>
          </w:p>
        </w:tc>
        <w:tc>
          <w:tcPr>
            <w:tcW w:w="1255" w:type="dxa"/>
          </w:tcPr>
          <w:p w14:paraId="00B3D4A5">
            <w:pPr>
              <w:pStyle w:val="17"/>
              <w:spacing w:line="600" w:lineRule="exact"/>
              <w:rPr>
                <w:rFonts w:hAnsi="宋体" w:eastAsia="宋体" w:cs="宋体"/>
                <w:color w:val="000000"/>
                <w:szCs w:val="24"/>
                <w:highlight w:val="none"/>
              </w:rPr>
            </w:pPr>
          </w:p>
        </w:tc>
      </w:tr>
    </w:tbl>
    <w:p w14:paraId="070E087E">
      <w:pPr>
        <w:autoSpaceDE w:val="0"/>
        <w:autoSpaceDN w:val="0"/>
        <w:adjustRightInd w:val="0"/>
        <w:snapToGrid w:val="0"/>
        <w:spacing w:line="42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说明：</w:t>
      </w:r>
    </w:p>
    <w:p w14:paraId="14C32366">
      <w:pPr>
        <w:spacing w:line="400" w:lineRule="atLeast"/>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t>注：</w:t>
      </w:r>
    </w:p>
    <w:p w14:paraId="6F0139E2">
      <w:pPr>
        <w:spacing w:line="400" w:lineRule="atLeast"/>
        <w:ind w:firstLine="480" w:firstLineChars="200"/>
        <w:rPr>
          <w:rFonts w:hint="default" w:ascii="新宋体" w:hAnsi="新宋体" w:eastAsia="新宋体" w:cs="新宋体"/>
          <w:color w:val="auto"/>
          <w:highlight w:val="green"/>
          <w:lang w:val="en-US"/>
        </w:rPr>
      </w:pPr>
      <w:r>
        <w:rPr>
          <w:rFonts w:ascii="宋体" w:hAnsi="宋体" w:cs="宋体"/>
          <w:color w:val="auto"/>
          <w:highlight w:val="none"/>
        </w:rPr>
        <w:t>1</w:t>
      </w:r>
      <w:r>
        <w:rPr>
          <w:rFonts w:hint="eastAsia" w:ascii="宋体" w:hAnsi="宋体" w:cs="宋体"/>
          <w:color w:val="auto"/>
          <w:highlight w:val="none"/>
        </w:rPr>
        <w:t>.</w:t>
      </w:r>
      <w:r>
        <w:rPr>
          <w:rFonts w:hint="eastAsia" w:ascii="宋体" w:hAnsi="宋体" w:cs="宋体"/>
          <w:color w:val="auto"/>
          <w:highlight w:val="none"/>
          <w:lang w:val="en-US" w:eastAsia="zh-CN"/>
        </w:rPr>
        <w:t>供应商</w:t>
      </w:r>
      <w:r>
        <w:rPr>
          <w:rFonts w:hint="eastAsia" w:ascii="宋体" w:hAnsi="宋体" w:cs="宋体"/>
          <w:color w:val="auto"/>
          <w:highlight w:val="none"/>
        </w:rPr>
        <w:t>需</w:t>
      </w:r>
      <w:r>
        <w:rPr>
          <w:rFonts w:hint="eastAsia" w:ascii="新宋体" w:hAnsi="新宋体" w:eastAsia="新宋体" w:cs="新宋体"/>
          <w:color w:val="auto"/>
          <w:highlight w:val="none"/>
          <w:lang w:val="zh-CN"/>
        </w:rPr>
        <w:t>按</w:t>
      </w:r>
      <w:r>
        <w:rPr>
          <w:rFonts w:hint="eastAsia" w:ascii="新宋体" w:hAnsi="新宋体" w:eastAsia="新宋体" w:cs="新宋体"/>
          <w:color w:val="auto"/>
          <w:highlight w:val="none"/>
          <w:lang w:val="en-US" w:eastAsia="zh-CN"/>
        </w:rPr>
        <w:t>竞争性磋商文件</w:t>
      </w:r>
      <w:r>
        <w:rPr>
          <w:rFonts w:hint="eastAsia" w:ascii="新宋体" w:hAnsi="新宋体" w:eastAsia="新宋体" w:cs="新宋体"/>
          <w:color w:val="auto"/>
          <w:highlight w:val="none"/>
          <w:lang w:val="zh-CN"/>
        </w:rPr>
        <w:t>要求，逐条对</w:t>
      </w:r>
      <w:r>
        <w:rPr>
          <w:rFonts w:hint="eastAsia" w:ascii="新宋体" w:hAnsi="新宋体" w:eastAsia="新宋体" w:cs="新宋体"/>
          <w:color w:val="auto"/>
          <w:highlight w:val="none"/>
        </w:rPr>
        <w:t>响应</w:t>
      </w:r>
      <w:r>
        <w:rPr>
          <w:rFonts w:hint="eastAsia" w:ascii="新宋体" w:hAnsi="新宋体" w:eastAsia="新宋体" w:cs="新宋体"/>
          <w:color w:val="auto"/>
          <w:highlight w:val="none"/>
          <w:lang w:val="zh-CN"/>
        </w:rPr>
        <w:t>文件实际</w:t>
      </w:r>
      <w:r>
        <w:rPr>
          <w:rFonts w:hint="eastAsia" w:hAnsi="宋体" w:eastAsia="宋体" w:cs="宋体"/>
          <w:color w:val="000000"/>
          <w:szCs w:val="24"/>
          <w:highlight w:val="none"/>
          <w:lang w:val="en-US" w:eastAsia="zh-CN"/>
        </w:rPr>
        <w:t>技术条款</w:t>
      </w:r>
      <w:r>
        <w:rPr>
          <w:rFonts w:hint="eastAsia" w:ascii="新宋体" w:hAnsi="新宋体" w:eastAsia="新宋体" w:cs="新宋体"/>
          <w:color w:val="auto"/>
          <w:highlight w:val="none"/>
          <w:lang w:val="zh-CN"/>
        </w:rPr>
        <w:t>的要求</w:t>
      </w:r>
      <w:r>
        <w:rPr>
          <w:rFonts w:hint="eastAsia" w:ascii="新宋体" w:hAnsi="新宋体" w:eastAsia="新宋体" w:cs="新宋体"/>
          <w:color w:val="auto"/>
          <w:highlight w:val="none"/>
        </w:rPr>
        <w:t>进行填写</w:t>
      </w:r>
      <w:r>
        <w:rPr>
          <w:rFonts w:hint="eastAsia" w:ascii="新宋体" w:hAnsi="新宋体" w:eastAsia="新宋体" w:cs="新宋体"/>
          <w:color w:val="auto"/>
          <w:highlight w:val="none"/>
          <w:lang w:val="zh-CN"/>
        </w:rPr>
        <w:t>。如有漏报、瞒报</w:t>
      </w:r>
      <w:r>
        <w:rPr>
          <w:rFonts w:hint="eastAsia" w:ascii="新宋体" w:hAnsi="新宋体" w:eastAsia="新宋体" w:cs="新宋体"/>
          <w:color w:val="auto"/>
          <w:highlight w:val="none"/>
          <w:lang w:val="en-US" w:eastAsia="zh-CN"/>
        </w:rPr>
        <w:t>竞争性磋商文件</w:t>
      </w:r>
      <w:r>
        <w:rPr>
          <w:rFonts w:hint="eastAsia" w:ascii="新宋体" w:hAnsi="新宋体" w:eastAsia="新宋体" w:cs="新宋体"/>
          <w:color w:val="auto"/>
          <w:highlight w:val="none"/>
          <w:lang w:val="zh-CN"/>
        </w:rPr>
        <w:t>所要求的</w:t>
      </w:r>
      <w:r>
        <w:rPr>
          <w:rFonts w:hint="eastAsia" w:hAnsi="宋体" w:eastAsia="宋体" w:cs="宋体"/>
          <w:color w:val="000000"/>
          <w:szCs w:val="24"/>
          <w:highlight w:val="none"/>
          <w:lang w:val="en-US" w:eastAsia="zh-CN"/>
        </w:rPr>
        <w:t>技术条款</w:t>
      </w:r>
      <w:r>
        <w:rPr>
          <w:rFonts w:hint="eastAsia" w:ascii="新宋体" w:hAnsi="新宋体" w:eastAsia="新宋体" w:cs="新宋体"/>
          <w:color w:val="auto"/>
          <w:highlight w:val="none"/>
          <w:lang w:val="zh-CN"/>
        </w:rPr>
        <w:t>等将视为没有实质性响应</w:t>
      </w:r>
      <w:r>
        <w:rPr>
          <w:rFonts w:hint="eastAsia" w:ascii="新宋体" w:hAnsi="新宋体" w:eastAsia="新宋体" w:cs="新宋体"/>
          <w:color w:val="auto"/>
          <w:highlight w:val="none"/>
          <w:lang w:val="en-US" w:eastAsia="zh-CN"/>
        </w:rPr>
        <w:t xml:space="preserve">竞争性磋商文件； </w:t>
      </w:r>
    </w:p>
    <w:p w14:paraId="6E50BB1A">
      <w:pPr>
        <w:spacing w:line="400" w:lineRule="atLeast"/>
        <w:ind w:firstLine="480" w:firstLineChars="200"/>
        <w:rPr>
          <w:rFonts w:hint="eastAsia" w:ascii="宋体" w:hAnsi="宋体" w:cs="宋体"/>
          <w:color w:val="auto"/>
          <w:highlight w:val="none"/>
        </w:rPr>
      </w:pPr>
      <w:r>
        <w:rPr>
          <w:rFonts w:hint="eastAsia" w:ascii="宋体" w:hAnsi="宋体" w:cs="宋体"/>
          <w:color w:val="auto"/>
          <w:highlight w:val="none"/>
        </w:rPr>
        <w:t>2.须在“说明”栏进行明确说明偏离情况，且偏离情况与实际相符。</w:t>
      </w:r>
    </w:p>
    <w:p w14:paraId="148D0646">
      <w:pPr>
        <w:autoSpaceDE w:val="0"/>
        <w:autoSpaceDN w:val="0"/>
        <w:adjustRightInd w:val="0"/>
        <w:snapToGrid w:val="0"/>
        <w:spacing w:line="420" w:lineRule="exact"/>
        <w:ind w:firstLine="482" w:firstLineChars="200"/>
        <w:rPr>
          <w:rFonts w:ascii="宋体" w:hAnsi="宋体" w:eastAsia="宋体" w:cs="宋体"/>
          <w:b/>
          <w:bCs/>
          <w:color w:val="000000"/>
          <w:szCs w:val="24"/>
          <w:highlight w:val="none"/>
        </w:rPr>
      </w:pPr>
      <w:r>
        <w:rPr>
          <w:rFonts w:hint="eastAsia" w:ascii="宋体" w:hAnsi="宋体" w:eastAsia="宋体" w:cs="宋体"/>
          <w:b/>
          <w:bCs/>
          <w:color w:val="000000"/>
          <w:szCs w:val="24"/>
          <w:highlight w:val="none"/>
        </w:rPr>
        <w:t xml:space="preserve">                                  </w:t>
      </w:r>
    </w:p>
    <w:p w14:paraId="466E67BD">
      <w:pPr>
        <w:spacing w:line="360" w:lineRule="auto"/>
        <w:rPr>
          <w:rFonts w:hint="eastAsia" w:ascii="宋体" w:hAnsi="宋体" w:eastAsia="宋体" w:cs="宋体"/>
          <w:szCs w:val="24"/>
          <w:highlight w:val="none"/>
          <w:lang w:val="zh-CN"/>
        </w:rPr>
      </w:pPr>
    </w:p>
    <w:p w14:paraId="292D96B1">
      <w:pPr>
        <w:spacing w:line="360" w:lineRule="auto"/>
        <w:rPr>
          <w:rFonts w:hint="eastAsia" w:ascii="宋体" w:hAnsi="宋体" w:eastAsia="宋体" w:cs="宋体"/>
          <w:szCs w:val="24"/>
          <w:highlight w:val="none"/>
          <w:lang w:val="zh-CN"/>
        </w:rPr>
      </w:pPr>
    </w:p>
    <w:p w14:paraId="036AD002">
      <w:pPr>
        <w:spacing w:line="360" w:lineRule="auto"/>
        <w:rPr>
          <w:rFonts w:ascii="宋体" w:hAnsi="宋体" w:eastAsia="宋体" w:cs="宋体"/>
          <w:szCs w:val="24"/>
          <w:highlight w:val="none"/>
        </w:rPr>
      </w:pPr>
      <w:r>
        <w:rPr>
          <w:rFonts w:hint="eastAsia" w:ascii="宋体" w:hAnsi="宋体" w:eastAsia="宋体" w:cs="宋体"/>
          <w:szCs w:val="24"/>
          <w:highlight w:val="none"/>
          <w:lang w:val="zh-CN"/>
        </w:rPr>
        <w:t>供应商</w:t>
      </w:r>
      <w:r>
        <w:rPr>
          <w:rFonts w:hint="eastAsia" w:ascii="宋体" w:hAnsi="宋体" w:eastAsia="宋体" w:cs="宋体"/>
          <w:szCs w:val="24"/>
          <w:highlight w:val="none"/>
        </w:rPr>
        <w:t>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（盖章） </w:t>
      </w:r>
    </w:p>
    <w:p w14:paraId="0B103FE3">
      <w:pPr>
        <w:spacing w:line="360" w:lineRule="auto"/>
        <w:rPr>
          <w:rFonts w:ascii="宋体" w:hAnsi="宋体" w:cs="宋体"/>
          <w:highlight w:val="none"/>
          <w:u w:val="single"/>
        </w:rPr>
      </w:pPr>
      <w:r>
        <w:rPr>
          <w:rFonts w:hint="eastAsia" w:ascii="宋体" w:hAnsi="宋体" w:cs="宋体"/>
          <w:highlight w:val="none"/>
        </w:rPr>
        <w:t>法定代表人或授权代表：</w:t>
      </w:r>
      <w:r>
        <w:rPr>
          <w:rFonts w:hint="eastAsia" w:ascii="宋体" w:hAnsi="宋体" w:cs="宋体"/>
          <w:highlight w:val="none"/>
          <w:u w:val="single"/>
        </w:rPr>
        <w:t xml:space="preserve">       </w:t>
      </w:r>
      <w:r>
        <w:rPr>
          <w:rFonts w:hint="eastAsia" w:ascii="宋体" w:hAnsi="宋体" w:cs="宋体"/>
          <w:highlight w:val="none"/>
        </w:rPr>
        <w:t>（签字或盖章）</w:t>
      </w:r>
    </w:p>
    <w:p w14:paraId="276348D8">
      <w:pPr>
        <w:autoSpaceDE w:val="0"/>
        <w:autoSpaceDN w:val="0"/>
        <w:adjustRightInd w:val="0"/>
        <w:snapToGrid w:val="0"/>
        <w:spacing w:line="360" w:lineRule="auto"/>
        <w:rPr>
          <w:rFonts w:ascii="宋体" w:hAnsi="宋体" w:cs="宋体"/>
          <w:bCs/>
          <w:caps/>
          <w:color w:val="000000"/>
          <w:highlight w:val="none"/>
        </w:rPr>
      </w:pPr>
      <w:r>
        <w:rPr>
          <w:rFonts w:hint="eastAsia" w:ascii="宋体" w:hAnsi="宋体" w:cs="宋体"/>
          <w:highlight w:val="none"/>
        </w:rPr>
        <w:t>日  期：</w:t>
      </w:r>
      <w:r>
        <w:rPr>
          <w:rFonts w:hint="eastAsia" w:ascii="宋体" w:hAnsi="宋体" w:cs="宋体"/>
          <w:color w:val="000000"/>
          <w:highlight w:val="none"/>
          <w:u w:val="single"/>
        </w:rPr>
        <w:t xml:space="preserve">          </w:t>
      </w:r>
      <w:r>
        <w:rPr>
          <w:rFonts w:hint="eastAsia" w:ascii="宋体" w:hAnsi="宋体" w:cs="宋体"/>
          <w:color w:val="000000"/>
          <w:highlight w:val="none"/>
        </w:rPr>
        <w:t>年</w:t>
      </w:r>
      <w:r>
        <w:rPr>
          <w:rFonts w:hint="eastAsia" w:ascii="宋体" w:hAnsi="宋体" w:cs="宋体"/>
          <w:color w:val="000000"/>
          <w:highlight w:val="none"/>
          <w:u w:val="single"/>
        </w:rPr>
        <w:t xml:space="preserve">         </w:t>
      </w:r>
      <w:r>
        <w:rPr>
          <w:rFonts w:hint="eastAsia" w:ascii="宋体" w:hAnsi="宋体" w:cs="宋体"/>
          <w:color w:val="000000"/>
          <w:highlight w:val="none"/>
        </w:rPr>
        <w:t>月</w:t>
      </w:r>
      <w:r>
        <w:rPr>
          <w:rFonts w:hint="eastAsia" w:ascii="宋体" w:hAnsi="宋体" w:cs="宋体"/>
          <w:color w:val="000000"/>
          <w:highlight w:val="none"/>
          <w:u w:val="single"/>
        </w:rPr>
        <w:t xml:space="preserve">         </w:t>
      </w:r>
      <w:r>
        <w:rPr>
          <w:rFonts w:hint="eastAsia" w:ascii="宋体" w:hAnsi="宋体" w:cs="宋体"/>
          <w:color w:val="000000"/>
          <w:highlight w:val="none"/>
        </w:rPr>
        <w:t>日</w:t>
      </w:r>
      <w:r>
        <w:rPr>
          <w:rFonts w:hint="eastAsia" w:ascii="宋体" w:hAnsi="宋体" w:cs="宋体"/>
          <w:bCs/>
          <w:caps/>
          <w:color w:val="000000"/>
          <w:highlight w:val="none"/>
        </w:rPr>
        <w:t xml:space="preserve"> </w:t>
      </w:r>
    </w:p>
    <w:p w14:paraId="338EE267">
      <w:pPr>
        <w:numPr>
          <w:ilvl w:val="0"/>
          <w:numId w:val="0"/>
        </w:numPr>
        <w:spacing w:line="360" w:lineRule="auto"/>
        <w:jc w:val="both"/>
        <w:rPr>
          <w:rFonts w:hint="eastAsia" w:asciiTheme="minorEastAsia" w:hAnsiTheme="minorEastAsia" w:cstheme="minorEastAsia"/>
          <w:b/>
          <w:color w:val="auto"/>
          <w:kern w:val="0"/>
          <w:sz w:val="28"/>
          <w:highlight w:val="none"/>
          <w:lang w:val="en-US" w:eastAsia="zh-CN"/>
        </w:rPr>
      </w:pPr>
    </w:p>
    <w:p w14:paraId="133FCC5B">
      <w:pPr>
        <w:numPr>
          <w:ilvl w:val="0"/>
          <w:numId w:val="0"/>
        </w:numPr>
        <w:spacing w:line="360" w:lineRule="auto"/>
        <w:jc w:val="center"/>
        <w:rPr>
          <w:rFonts w:hint="eastAsia" w:asciiTheme="minorEastAsia" w:hAnsiTheme="minorEastAsia" w:cstheme="minorEastAsia"/>
          <w:b/>
          <w:color w:val="auto"/>
          <w:kern w:val="0"/>
          <w:sz w:val="28"/>
          <w:highlight w:val="none"/>
          <w:lang w:val="en-US" w:eastAsia="zh-CN"/>
        </w:rPr>
      </w:pPr>
    </w:p>
    <w:p w14:paraId="64BE5B2A">
      <w:pPr>
        <w:numPr>
          <w:ilvl w:val="0"/>
          <w:numId w:val="0"/>
        </w:numPr>
        <w:spacing w:line="360" w:lineRule="auto"/>
        <w:jc w:val="center"/>
        <w:rPr>
          <w:rFonts w:hint="eastAsia" w:asciiTheme="minorEastAsia" w:hAnsiTheme="minorEastAsia" w:cstheme="minorEastAsia"/>
          <w:b/>
          <w:color w:val="auto"/>
          <w:kern w:val="0"/>
          <w:sz w:val="28"/>
          <w:highlight w:val="none"/>
          <w:lang w:val="en-US" w:eastAsia="zh-CN"/>
        </w:rPr>
      </w:pPr>
    </w:p>
    <w:p w14:paraId="36698A15">
      <w:pPr>
        <w:numPr>
          <w:ilvl w:val="0"/>
          <w:numId w:val="0"/>
        </w:numPr>
        <w:spacing w:line="360" w:lineRule="auto"/>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Theme="minorEastAsia" w:hAnsiTheme="minorEastAsia" w:cstheme="minorEastAsia"/>
          <w:b/>
          <w:color w:val="auto"/>
          <w:kern w:val="0"/>
          <w:sz w:val="28"/>
          <w:highlight w:val="none"/>
          <w:lang w:val="en-US" w:eastAsia="zh-CN"/>
        </w:rPr>
        <w:t>4.商务条款偏离表</w:t>
      </w:r>
    </w:p>
    <w:p w14:paraId="25A2CF58">
      <w:pPr>
        <w:spacing w:line="480" w:lineRule="exact"/>
        <w:ind w:firstLine="480" w:firstLineChars="200"/>
        <w:rPr>
          <w:rFonts w:ascii="宋体" w:hAnsi="宋体" w:eastAsia="宋体" w:cs="宋体"/>
          <w:highlight w:val="none"/>
        </w:rPr>
      </w:pPr>
    </w:p>
    <w:p w14:paraId="2E8845CF">
      <w:pPr>
        <w:tabs>
          <w:tab w:val="left" w:pos="7920"/>
        </w:tabs>
        <w:kinsoku w:val="0"/>
        <w:spacing w:line="5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 xml:space="preserve">项目名称：                                          </w:t>
      </w:r>
      <w:r>
        <w:rPr>
          <w:rFonts w:hint="eastAsia" w:ascii="宋体" w:hAnsi="宋体" w:eastAsia="宋体" w:cs="宋体"/>
          <w:color w:val="000000"/>
          <w:szCs w:val="24"/>
          <w:highlight w:val="none"/>
        </w:rPr>
        <w:tab/>
      </w:r>
    </w:p>
    <w:p w14:paraId="26F4D450">
      <w:pPr>
        <w:kinsoku w:val="0"/>
        <w:spacing w:line="500" w:lineRule="exact"/>
        <w:ind w:left="-137" w:leftChars="-57" w:firstLine="120" w:firstLineChars="50"/>
        <w:rPr>
          <w:rFonts w:ascii="宋体" w:hAnsi="宋体" w:eastAsia="宋体" w:cs="宋体"/>
          <w:color w:val="000000"/>
          <w:szCs w:val="24"/>
          <w:highlight w:val="none"/>
        </w:rPr>
      </w:pPr>
      <w:r>
        <w:rPr>
          <w:rFonts w:hint="eastAsia" w:ascii="宋体" w:hAnsi="宋体" w:eastAsia="宋体" w:cs="宋体"/>
          <w:color w:val="000000"/>
          <w:szCs w:val="24"/>
          <w:highlight w:val="none"/>
        </w:rPr>
        <w:t>项目编号：                                        共   页，第   页</w:t>
      </w:r>
    </w:p>
    <w:tbl>
      <w:tblPr>
        <w:tblStyle w:val="37"/>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2"/>
        <w:gridCol w:w="2758"/>
        <w:gridCol w:w="2171"/>
        <w:gridCol w:w="1255"/>
      </w:tblGrid>
      <w:tr w14:paraId="3EC4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11" w:type="dxa"/>
            <w:vAlign w:val="center"/>
          </w:tcPr>
          <w:p w14:paraId="2AE91169">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序号</w:t>
            </w:r>
          </w:p>
        </w:tc>
        <w:tc>
          <w:tcPr>
            <w:tcW w:w="1962" w:type="dxa"/>
            <w:vAlign w:val="center"/>
          </w:tcPr>
          <w:p w14:paraId="5377D79B">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名称</w:t>
            </w:r>
          </w:p>
        </w:tc>
        <w:tc>
          <w:tcPr>
            <w:tcW w:w="2758" w:type="dxa"/>
            <w:vAlign w:val="center"/>
          </w:tcPr>
          <w:p w14:paraId="731145DF">
            <w:pPr>
              <w:pStyle w:val="17"/>
              <w:spacing w:line="400" w:lineRule="exact"/>
              <w:rPr>
                <w:rFonts w:hAnsi="宋体" w:eastAsia="宋体" w:cs="宋体"/>
                <w:color w:val="000000"/>
                <w:szCs w:val="24"/>
                <w:highlight w:val="none"/>
              </w:rPr>
            </w:pPr>
            <w:r>
              <w:rPr>
                <w:rFonts w:hint="eastAsia" w:hAnsi="宋体" w:eastAsia="宋体" w:cs="宋体"/>
                <w:color w:val="000000"/>
                <w:szCs w:val="24"/>
                <w:highlight w:val="none"/>
              </w:rPr>
              <w:t>磋商文件要求商务条款</w:t>
            </w:r>
          </w:p>
        </w:tc>
        <w:tc>
          <w:tcPr>
            <w:tcW w:w="2171" w:type="dxa"/>
            <w:vAlign w:val="center"/>
          </w:tcPr>
          <w:p w14:paraId="68815C25">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磋商</w:t>
            </w:r>
            <w:r>
              <w:rPr>
                <w:rFonts w:hint="eastAsia" w:hAnsi="宋体" w:eastAsia="宋体" w:cs="宋体"/>
                <w:color w:val="000000"/>
                <w:szCs w:val="24"/>
                <w:highlight w:val="none"/>
                <w:lang w:val="en-US" w:eastAsia="zh-CN"/>
              </w:rPr>
              <w:t>响</w:t>
            </w:r>
            <w:r>
              <w:rPr>
                <w:rFonts w:hint="eastAsia" w:hAnsi="宋体" w:eastAsia="宋体" w:cs="宋体"/>
                <w:color w:val="000000"/>
                <w:szCs w:val="24"/>
                <w:highlight w:val="none"/>
              </w:rPr>
              <w:t>应商务条款</w:t>
            </w:r>
          </w:p>
        </w:tc>
        <w:tc>
          <w:tcPr>
            <w:tcW w:w="1255" w:type="dxa"/>
            <w:vAlign w:val="center"/>
          </w:tcPr>
          <w:p w14:paraId="7FA447A0">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偏差说明</w:t>
            </w:r>
          </w:p>
        </w:tc>
      </w:tr>
      <w:tr w14:paraId="2F1E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6F6AF5EE">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14C0EF65">
            <w:pPr>
              <w:pStyle w:val="17"/>
              <w:spacing w:line="400" w:lineRule="exact"/>
              <w:jc w:val="center"/>
              <w:rPr>
                <w:rFonts w:hAnsi="宋体" w:eastAsia="宋体" w:cs="宋体"/>
                <w:color w:val="000000"/>
                <w:szCs w:val="24"/>
                <w:highlight w:val="none"/>
              </w:rPr>
            </w:pPr>
          </w:p>
        </w:tc>
        <w:tc>
          <w:tcPr>
            <w:tcW w:w="2758" w:type="dxa"/>
            <w:vAlign w:val="center"/>
          </w:tcPr>
          <w:p w14:paraId="3614ECB8">
            <w:pPr>
              <w:pStyle w:val="17"/>
              <w:spacing w:line="600" w:lineRule="exact"/>
              <w:rPr>
                <w:rFonts w:hAnsi="宋体" w:eastAsia="宋体" w:cs="宋体"/>
                <w:color w:val="000000"/>
                <w:szCs w:val="24"/>
                <w:highlight w:val="none"/>
              </w:rPr>
            </w:pPr>
          </w:p>
        </w:tc>
        <w:tc>
          <w:tcPr>
            <w:tcW w:w="2171" w:type="dxa"/>
            <w:vAlign w:val="center"/>
          </w:tcPr>
          <w:p w14:paraId="0455919D">
            <w:pPr>
              <w:pStyle w:val="17"/>
              <w:spacing w:line="600" w:lineRule="exact"/>
              <w:rPr>
                <w:rFonts w:hAnsi="宋体" w:eastAsia="宋体" w:cs="宋体"/>
                <w:color w:val="000000"/>
                <w:szCs w:val="24"/>
                <w:highlight w:val="none"/>
              </w:rPr>
            </w:pPr>
          </w:p>
        </w:tc>
        <w:tc>
          <w:tcPr>
            <w:tcW w:w="1255" w:type="dxa"/>
            <w:vAlign w:val="center"/>
          </w:tcPr>
          <w:p w14:paraId="039C8B5C">
            <w:pPr>
              <w:pStyle w:val="17"/>
              <w:spacing w:line="600" w:lineRule="exact"/>
              <w:rPr>
                <w:rFonts w:hAnsi="宋体" w:eastAsia="宋体" w:cs="宋体"/>
                <w:color w:val="000000"/>
                <w:szCs w:val="24"/>
                <w:highlight w:val="none"/>
              </w:rPr>
            </w:pPr>
          </w:p>
        </w:tc>
      </w:tr>
      <w:tr w14:paraId="3B7F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5182BFED">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30FDE904">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1E91DC09">
            <w:pPr>
              <w:pStyle w:val="17"/>
              <w:spacing w:line="600" w:lineRule="exact"/>
              <w:rPr>
                <w:rFonts w:hAnsi="宋体" w:eastAsia="宋体" w:cs="宋体"/>
                <w:color w:val="000000"/>
                <w:szCs w:val="24"/>
                <w:highlight w:val="none"/>
              </w:rPr>
            </w:pPr>
          </w:p>
        </w:tc>
        <w:tc>
          <w:tcPr>
            <w:tcW w:w="2171" w:type="dxa"/>
          </w:tcPr>
          <w:p w14:paraId="75BB5192">
            <w:pPr>
              <w:pStyle w:val="17"/>
              <w:spacing w:line="600" w:lineRule="exact"/>
              <w:rPr>
                <w:rFonts w:hAnsi="宋体" w:eastAsia="宋体" w:cs="宋体"/>
                <w:color w:val="000000"/>
                <w:szCs w:val="24"/>
                <w:highlight w:val="none"/>
              </w:rPr>
            </w:pPr>
          </w:p>
        </w:tc>
        <w:tc>
          <w:tcPr>
            <w:tcW w:w="1255" w:type="dxa"/>
          </w:tcPr>
          <w:p w14:paraId="1440D30A">
            <w:pPr>
              <w:pStyle w:val="17"/>
              <w:spacing w:line="600" w:lineRule="exact"/>
              <w:rPr>
                <w:rFonts w:hAnsi="宋体" w:eastAsia="宋体" w:cs="宋体"/>
                <w:color w:val="000000"/>
                <w:szCs w:val="24"/>
                <w:highlight w:val="none"/>
              </w:rPr>
            </w:pPr>
          </w:p>
        </w:tc>
      </w:tr>
      <w:tr w14:paraId="4415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0D52393D">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4FC48D17">
            <w:pPr>
              <w:pStyle w:val="17"/>
              <w:spacing w:line="600" w:lineRule="exact"/>
              <w:jc w:val="center"/>
              <w:rPr>
                <w:rFonts w:hint="eastAsia" w:hAnsi="宋体" w:eastAsia="宋体" w:cs="宋体"/>
                <w:color w:val="000000"/>
                <w:szCs w:val="24"/>
                <w:highlight w:val="none"/>
                <w:lang w:val="en-US" w:eastAsia="zh-CN"/>
              </w:rPr>
            </w:pPr>
          </w:p>
        </w:tc>
        <w:tc>
          <w:tcPr>
            <w:tcW w:w="2758" w:type="dxa"/>
          </w:tcPr>
          <w:p w14:paraId="4A549148">
            <w:pPr>
              <w:pStyle w:val="17"/>
              <w:spacing w:line="600" w:lineRule="exact"/>
              <w:rPr>
                <w:rFonts w:hAnsi="宋体" w:eastAsia="宋体" w:cs="宋体"/>
                <w:color w:val="000000"/>
                <w:szCs w:val="24"/>
                <w:highlight w:val="none"/>
              </w:rPr>
            </w:pPr>
          </w:p>
        </w:tc>
        <w:tc>
          <w:tcPr>
            <w:tcW w:w="2171" w:type="dxa"/>
          </w:tcPr>
          <w:p w14:paraId="458CA10F">
            <w:pPr>
              <w:pStyle w:val="17"/>
              <w:spacing w:line="600" w:lineRule="exact"/>
              <w:rPr>
                <w:rFonts w:hAnsi="宋体" w:eastAsia="宋体" w:cs="宋体"/>
                <w:color w:val="000000"/>
                <w:szCs w:val="24"/>
                <w:highlight w:val="none"/>
              </w:rPr>
            </w:pPr>
          </w:p>
        </w:tc>
        <w:tc>
          <w:tcPr>
            <w:tcW w:w="1255" w:type="dxa"/>
          </w:tcPr>
          <w:p w14:paraId="7EEDF356">
            <w:pPr>
              <w:pStyle w:val="17"/>
              <w:spacing w:line="600" w:lineRule="exact"/>
              <w:rPr>
                <w:rFonts w:hAnsi="宋体" w:eastAsia="宋体" w:cs="宋体"/>
                <w:color w:val="000000"/>
                <w:szCs w:val="24"/>
                <w:highlight w:val="none"/>
              </w:rPr>
            </w:pPr>
          </w:p>
        </w:tc>
      </w:tr>
      <w:tr w14:paraId="2D86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08900BF9">
            <w:pPr>
              <w:pStyle w:val="17"/>
              <w:spacing w:line="600" w:lineRule="exact"/>
              <w:jc w:val="center"/>
              <w:rPr>
                <w:rFonts w:hint="eastAsia" w:hAnsi="宋体" w:eastAsia="宋体" w:cs="宋体"/>
                <w:color w:val="000000"/>
                <w:szCs w:val="24"/>
                <w:highlight w:val="none"/>
                <w:lang w:val="en-US" w:eastAsia="zh-CN"/>
              </w:rPr>
            </w:pPr>
          </w:p>
        </w:tc>
        <w:tc>
          <w:tcPr>
            <w:tcW w:w="1962" w:type="dxa"/>
          </w:tcPr>
          <w:p w14:paraId="00555256">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075F3A15">
            <w:pPr>
              <w:pStyle w:val="17"/>
              <w:spacing w:line="600" w:lineRule="exact"/>
              <w:rPr>
                <w:rFonts w:hAnsi="宋体" w:eastAsia="宋体" w:cs="宋体"/>
                <w:color w:val="000000"/>
                <w:szCs w:val="24"/>
                <w:highlight w:val="none"/>
              </w:rPr>
            </w:pPr>
          </w:p>
        </w:tc>
        <w:tc>
          <w:tcPr>
            <w:tcW w:w="2171" w:type="dxa"/>
          </w:tcPr>
          <w:p w14:paraId="7C68980A">
            <w:pPr>
              <w:pStyle w:val="17"/>
              <w:spacing w:line="600" w:lineRule="exact"/>
              <w:rPr>
                <w:rFonts w:hAnsi="宋体" w:eastAsia="宋体" w:cs="宋体"/>
                <w:color w:val="000000"/>
                <w:szCs w:val="24"/>
                <w:highlight w:val="none"/>
              </w:rPr>
            </w:pPr>
          </w:p>
        </w:tc>
        <w:tc>
          <w:tcPr>
            <w:tcW w:w="1255" w:type="dxa"/>
          </w:tcPr>
          <w:p w14:paraId="096954E2">
            <w:pPr>
              <w:pStyle w:val="17"/>
              <w:spacing w:line="600" w:lineRule="exact"/>
              <w:rPr>
                <w:rFonts w:hAnsi="宋体" w:eastAsia="宋体" w:cs="宋体"/>
                <w:color w:val="000000"/>
                <w:szCs w:val="24"/>
                <w:highlight w:val="none"/>
              </w:rPr>
            </w:pPr>
          </w:p>
        </w:tc>
      </w:tr>
      <w:tr w14:paraId="1DE1C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top"/>
          </w:tcPr>
          <w:p w14:paraId="1EE57A02">
            <w:pPr>
              <w:pStyle w:val="17"/>
              <w:spacing w:line="600" w:lineRule="exact"/>
              <w:jc w:val="center"/>
              <w:rPr>
                <w:rFonts w:hAnsi="宋体" w:eastAsia="宋体" w:cs="宋体"/>
                <w:color w:val="000000"/>
                <w:szCs w:val="24"/>
                <w:highlight w:val="none"/>
              </w:rPr>
            </w:pPr>
          </w:p>
        </w:tc>
        <w:tc>
          <w:tcPr>
            <w:tcW w:w="1962" w:type="dxa"/>
            <w:vAlign w:val="top"/>
          </w:tcPr>
          <w:p w14:paraId="094C41CB">
            <w:pPr>
              <w:pStyle w:val="17"/>
              <w:spacing w:line="600" w:lineRule="exact"/>
              <w:jc w:val="center"/>
              <w:rPr>
                <w:rFonts w:hAnsi="宋体" w:eastAsia="宋体" w:cs="宋体"/>
                <w:color w:val="000000"/>
                <w:szCs w:val="24"/>
                <w:highlight w:val="none"/>
              </w:rPr>
            </w:pPr>
          </w:p>
        </w:tc>
        <w:tc>
          <w:tcPr>
            <w:tcW w:w="2758" w:type="dxa"/>
          </w:tcPr>
          <w:p w14:paraId="200D9BF6">
            <w:pPr>
              <w:pStyle w:val="17"/>
              <w:spacing w:line="600" w:lineRule="exact"/>
              <w:rPr>
                <w:rFonts w:hAnsi="宋体" w:eastAsia="宋体" w:cs="宋体"/>
                <w:color w:val="000000"/>
                <w:szCs w:val="24"/>
                <w:highlight w:val="none"/>
              </w:rPr>
            </w:pPr>
          </w:p>
        </w:tc>
        <w:tc>
          <w:tcPr>
            <w:tcW w:w="2171" w:type="dxa"/>
          </w:tcPr>
          <w:p w14:paraId="6FFACD25">
            <w:pPr>
              <w:pStyle w:val="17"/>
              <w:spacing w:line="600" w:lineRule="exact"/>
              <w:rPr>
                <w:rFonts w:hAnsi="宋体" w:eastAsia="宋体" w:cs="宋体"/>
                <w:color w:val="000000"/>
                <w:szCs w:val="24"/>
                <w:highlight w:val="none"/>
              </w:rPr>
            </w:pPr>
          </w:p>
        </w:tc>
        <w:tc>
          <w:tcPr>
            <w:tcW w:w="1255" w:type="dxa"/>
          </w:tcPr>
          <w:p w14:paraId="670468E7">
            <w:pPr>
              <w:pStyle w:val="17"/>
              <w:spacing w:line="600" w:lineRule="exact"/>
              <w:rPr>
                <w:rFonts w:hAnsi="宋体" w:eastAsia="宋体" w:cs="宋体"/>
                <w:color w:val="000000"/>
                <w:szCs w:val="24"/>
                <w:highlight w:val="none"/>
              </w:rPr>
            </w:pPr>
          </w:p>
        </w:tc>
      </w:tr>
      <w:tr w14:paraId="7AB1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4EC8DD09">
            <w:pPr>
              <w:pStyle w:val="17"/>
              <w:spacing w:line="600" w:lineRule="exact"/>
              <w:rPr>
                <w:rFonts w:hAnsi="宋体" w:eastAsia="宋体" w:cs="宋体"/>
                <w:color w:val="000000"/>
                <w:szCs w:val="24"/>
                <w:highlight w:val="none"/>
              </w:rPr>
            </w:pPr>
          </w:p>
        </w:tc>
        <w:tc>
          <w:tcPr>
            <w:tcW w:w="1962" w:type="dxa"/>
          </w:tcPr>
          <w:p w14:paraId="3712DC80">
            <w:pPr>
              <w:pStyle w:val="17"/>
              <w:spacing w:line="600" w:lineRule="exact"/>
              <w:rPr>
                <w:rFonts w:hAnsi="宋体" w:eastAsia="宋体" w:cs="宋体"/>
                <w:color w:val="000000"/>
                <w:szCs w:val="24"/>
                <w:highlight w:val="none"/>
              </w:rPr>
            </w:pPr>
          </w:p>
        </w:tc>
        <w:tc>
          <w:tcPr>
            <w:tcW w:w="2758" w:type="dxa"/>
          </w:tcPr>
          <w:p w14:paraId="2AF48D2C">
            <w:pPr>
              <w:pStyle w:val="17"/>
              <w:spacing w:line="600" w:lineRule="exact"/>
              <w:rPr>
                <w:rFonts w:hAnsi="宋体" w:eastAsia="宋体" w:cs="宋体"/>
                <w:color w:val="000000"/>
                <w:szCs w:val="24"/>
                <w:highlight w:val="none"/>
              </w:rPr>
            </w:pPr>
          </w:p>
        </w:tc>
        <w:tc>
          <w:tcPr>
            <w:tcW w:w="2171" w:type="dxa"/>
          </w:tcPr>
          <w:p w14:paraId="79AFEC1F">
            <w:pPr>
              <w:pStyle w:val="17"/>
              <w:spacing w:line="600" w:lineRule="exact"/>
              <w:rPr>
                <w:rFonts w:hAnsi="宋体" w:eastAsia="宋体" w:cs="宋体"/>
                <w:color w:val="000000"/>
                <w:szCs w:val="24"/>
                <w:highlight w:val="none"/>
              </w:rPr>
            </w:pPr>
          </w:p>
        </w:tc>
        <w:tc>
          <w:tcPr>
            <w:tcW w:w="1255" w:type="dxa"/>
          </w:tcPr>
          <w:p w14:paraId="6E628B5F">
            <w:pPr>
              <w:pStyle w:val="17"/>
              <w:spacing w:line="600" w:lineRule="exact"/>
              <w:rPr>
                <w:rFonts w:hAnsi="宋体" w:eastAsia="宋体" w:cs="宋体"/>
                <w:color w:val="000000"/>
                <w:szCs w:val="24"/>
                <w:highlight w:val="none"/>
              </w:rPr>
            </w:pPr>
          </w:p>
        </w:tc>
      </w:tr>
      <w:tr w14:paraId="4357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28DBB786">
            <w:pPr>
              <w:pStyle w:val="17"/>
              <w:spacing w:line="600" w:lineRule="exact"/>
              <w:rPr>
                <w:rFonts w:hAnsi="宋体" w:eastAsia="宋体" w:cs="宋体"/>
                <w:color w:val="000000"/>
                <w:szCs w:val="24"/>
                <w:highlight w:val="none"/>
              </w:rPr>
            </w:pPr>
          </w:p>
        </w:tc>
        <w:tc>
          <w:tcPr>
            <w:tcW w:w="1962" w:type="dxa"/>
          </w:tcPr>
          <w:p w14:paraId="798802D2">
            <w:pPr>
              <w:pStyle w:val="17"/>
              <w:spacing w:line="600" w:lineRule="exact"/>
              <w:rPr>
                <w:rFonts w:hAnsi="宋体" w:eastAsia="宋体" w:cs="宋体"/>
                <w:color w:val="000000"/>
                <w:szCs w:val="24"/>
                <w:highlight w:val="none"/>
              </w:rPr>
            </w:pPr>
          </w:p>
        </w:tc>
        <w:tc>
          <w:tcPr>
            <w:tcW w:w="2758" w:type="dxa"/>
          </w:tcPr>
          <w:p w14:paraId="4F5027A1">
            <w:pPr>
              <w:pStyle w:val="17"/>
              <w:spacing w:line="600" w:lineRule="exact"/>
              <w:rPr>
                <w:rFonts w:hAnsi="宋体" w:eastAsia="宋体" w:cs="宋体"/>
                <w:color w:val="000000"/>
                <w:szCs w:val="24"/>
                <w:highlight w:val="none"/>
              </w:rPr>
            </w:pPr>
          </w:p>
        </w:tc>
        <w:tc>
          <w:tcPr>
            <w:tcW w:w="2171" w:type="dxa"/>
          </w:tcPr>
          <w:p w14:paraId="77344CE3">
            <w:pPr>
              <w:pStyle w:val="17"/>
              <w:spacing w:line="600" w:lineRule="exact"/>
              <w:rPr>
                <w:rFonts w:hAnsi="宋体" w:eastAsia="宋体" w:cs="宋体"/>
                <w:color w:val="000000"/>
                <w:szCs w:val="24"/>
                <w:highlight w:val="none"/>
              </w:rPr>
            </w:pPr>
          </w:p>
        </w:tc>
        <w:tc>
          <w:tcPr>
            <w:tcW w:w="1255" w:type="dxa"/>
          </w:tcPr>
          <w:p w14:paraId="5F8B66C3">
            <w:pPr>
              <w:pStyle w:val="17"/>
              <w:spacing w:line="600" w:lineRule="exact"/>
              <w:rPr>
                <w:rFonts w:hAnsi="宋体" w:eastAsia="宋体" w:cs="宋体"/>
                <w:color w:val="000000"/>
                <w:szCs w:val="24"/>
                <w:highlight w:val="none"/>
              </w:rPr>
            </w:pPr>
          </w:p>
        </w:tc>
      </w:tr>
      <w:tr w14:paraId="5BC9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D769BE4">
            <w:pPr>
              <w:pStyle w:val="17"/>
              <w:spacing w:line="600" w:lineRule="exact"/>
              <w:rPr>
                <w:rFonts w:hAnsi="宋体" w:eastAsia="宋体" w:cs="宋体"/>
                <w:color w:val="000000"/>
                <w:szCs w:val="24"/>
                <w:highlight w:val="none"/>
              </w:rPr>
            </w:pPr>
          </w:p>
        </w:tc>
        <w:tc>
          <w:tcPr>
            <w:tcW w:w="1962" w:type="dxa"/>
          </w:tcPr>
          <w:p w14:paraId="6F7483B4">
            <w:pPr>
              <w:pStyle w:val="17"/>
              <w:spacing w:line="600" w:lineRule="exact"/>
              <w:rPr>
                <w:rFonts w:hAnsi="宋体" w:eastAsia="宋体" w:cs="宋体"/>
                <w:color w:val="000000"/>
                <w:szCs w:val="24"/>
                <w:highlight w:val="none"/>
              </w:rPr>
            </w:pPr>
          </w:p>
        </w:tc>
        <w:tc>
          <w:tcPr>
            <w:tcW w:w="2758" w:type="dxa"/>
          </w:tcPr>
          <w:p w14:paraId="4887330E">
            <w:pPr>
              <w:pStyle w:val="17"/>
              <w:spacing w:line="600" w:lineRule="exact"/>
              <w:rPr>
                <w:rFonts w:hAnsi="宋体" w:eastAsia="宋体" w:cs="宋体"/>
                <w:color w:val="000000"/>
                <w:szCs w:val="24"/>
                <w:highlight w:val="none"/>
              </w:rPr>
            </w:pPr>
          </w:p>
        </w:tc>
        <w:tc>
          <w:tcPr>
            <w:tcW w:w="2171" w:type="dxa"/>
          </w:tcPr>
          <w:p w14:paraId="1685EC8A">
            <w:pPr>
              <w:pStyle w:val="17"/>
              <w:spacing w:line="600" w:lineRule="exact"/>
              <w:rPr>
                <w:rFonts w:hAnsi="宋体" w:eastAsia="宋体" w:cs="宋体"/>
                <w:color w:val="000000"/>
                <w:szCs w:val="24"/>
                <w:highlight w:val="none"/>
              </w:rPr>
            </w:pPr>
          </w:p>
        </w:tc>
        <w:tc>
          <w:tcPr>
            <w:tcW w:w="1255" w:type="dxa"/>
          </w:tcPr>
          <w:p w14:paraId="01E75C5A">
            <w:pPr>
              <w:pStyle w:val="17"/>
              <w:spacing w:line="600" w:lineRule="exact"/>
              <w:rPr>
                <w:rFonts w:hAnsi="宋体" w:eastAsia="宋体" w:cs="宋体"/>
                <w:color w:val="000000"/>
                <w:szCs w:val="24"/>
                <w:highlight w:val="none"/>
              </w:rPr>
            </w:pPr>
          </w:p>
        </w:tc>
      </w:tr>
      <w:tr w14:paraId="518A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CCD5026">
            <w:pPr>
              <w:pStyle w:val="17"/>
              <w:spacing w:line="600" w:lineRule="exact"/>
              <w:rPr>
                <w:rFonts w:hAnsi="宋体" w:eastAsia="宋体" w:cs="宋体"/>
                <w:color w:val="000000"/>
                <w:szCs w:val="24"/>
                <w:highlight w:val="none"/>
              </w:rPr>
            </w:pPr>
          </w:p>
        </w:tc>
        <w:tc>
          <w:tcPr>
            <w:tcW w:w="1962" w:type="dxa"/>
          </w:tcPr>
          <w:p w14:paraId="497F3F92">
            <w:pPr>
              <w:pStyle w:val="17"/>
              <w:spacing w:line="400" w:lineRule="exact"/>
              <w:rPr>
                <w:rFonts w:hAnsi="宋体" w:eastAsia="宋体" w:cs="宋体"/>
                <w:color w:val="000000"/>
                <w:szCs w:val="24"/>
                <w:highlight w:val="none"/>
              </w:rPr>
            </w:pPr>
          </w:p>
        </w:tc>
        <w:tc>
          <w:tcPr>
            <w:tcW w:w="2758" w:type="dxa"/>
          </w:tcPr>
          <w:p w14:paraId="7EFDA8C9">
            <w:pPr>
              <w:pStyle w:val="17"/>
              <w:spacing w:line="600" w:lineRule="exact"/>
              <w:rPr>
                <w:rFonts w:hAnsi="宋体" w:eastAsia="宋体" w:cs="宋体"/>
                <w:color w:val="000000"/>
                <w:szCs w:val="24"/>
                <w:highlight w:val="none"/>
              </w:rPr>
            </w:pPr>
          </w:p>
        </w:tc>
        <w:tc>
          <w:tcPr>
            <w:tcW w:w="2171" w:type="dxa"/>
          </w:tcPr>
          <w:p w14:paraId="48272C1C">
            <w:pPr>
              <w:pStyle w:val="17"/>
              <w:spacing w:line="600" w:lineRule="exact"/>
              <w:rPr>
                <w:rFonts w:hAnsi="宋体" w:eastAsia="宋体" w:cs="宋体"/>
                <w:color w:val="000000"/>
                <w:szCs w:val="24"/>
                <w:highlight w:val="none"/>
              </w:rPr>
            </w:pPr>
          </w:p>
        </w:tc>
        <w:tc>
          <w:tcPr>
            <w:tcW w:w="1255" w:type="dxa"/>
          </w:tcPr>
          <w:p w14:paraId="02EC0E22">
            <w:pPr>
              <w:pStyle w:val="17"/>
              <w:spacing w:line="600" w:lineRule="exact"/>
              <w:rPr>
                <w:rFonts w:hAnsi="宋体" w:eastAsia="宋体" w:cs="宋体"/>
                <w:color w:val="000000"/>
                <w:szCs w:val="24"/>
                <w:highlight w:val="none"/>
              </w:rPr>
            </w:pPr>
          </w:p>
        </w:tc>
      </w:tr>
      <w:tr w14:paraId="2A37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11" w:type="dxa"/>
          </w:tcPr>
          <w:p w14:paraId="48E4406E">
            <w:pPr>
              <w:pStyle w:val="17"/>
              <w:spacing w:line="600" w:lineRule="exact"/>
              <w:rPr>
                <w:rFonts w:hAnsi="宋体" w:eastAsia="宋体" w:cs="宋体"/>
                <w:color w:val="000000"/>
                <w:szCs w:val="24"/>
                <w:highlight w:val="none"/>
              </w:rPr>
            </w:pPr>
          </w:p>
        </w:tc>
        <w:tc>
          <w:tcPr>
            <w:tcW w:w="1962" w:type="dxa"/>
          </w:tcPr>
          <w:p w14:paraId="024C871E">
            <w:pPr>
              <w:pStyle w:val="17"/>
              <w:spacing w:line="400" w:lineRule="exact"/>
              <w:rPr>
                <w:rFonts w:hAnsi="宋体" w:eastAsia="宋体" w:cs="宋体"/>
                <w:color w:val="000000"/>
                <w:szCs w:val="24"/>
                <w:highlight w:val="none"/>
              </w:rPr>
            </w:pPr>
          </w:p>
        </w:tc>
        <w:tc>
          <w:tcPr>
            <w:tcW w:w="2758" w:type="dxa"/>
          </w:tcPr>
          <w:p w14:paraId="1B6F569E">
            <w:pPr>
              <w:pStyle w:val="17"/>
              <w:spacing w:line="600" w:lineRule="exact"/>
              <w:rPr>
                <w:rFonts w:hAnsi="宋体" w:eastAsia="宋体" w:cs="宋体"/>
                <w:color w:val="000000"/>
                <w:szCs w:val="24"/>
                <w:highlight w:val="none"/>
              </w:rPr>
            </w:pPr>
          </w:p>
        </w:tc>
        <w:tc>
          <w:tcPr>
            <w:tcW w:w="2171" w:type="dxa"/>
          </w:tcPr>
          <w:p w14:paraId="69CB5323">
            <w:pPr>
              <w:pStyle w:val="17"/>
              <w:spacing w:line="600" w:lineRule="exact"/>
              <w:rPr>
                <w:rFonts w:hAnsi="宋体" w:eastAsia="宋体" w:cs="宋体"/>
                <w:color w:val="000000"/>
                <w:szCs w:val="24"/>
                <w:highlight w:val="none"/>
              </w:rPr>
            </w:pPr>
          </w:p>
        </w:tc>
        <w:tc>
          <w:tcPr>
            <w:tcW w:w="1255" w:type="dxa"/>
          </w:tcPr>
          <w:p w14:paraId="6CD0ABF0">
            <w:pPr>
              <w:pStyle w:val="17"/>
              <w:spacing w:line="600" w:lineRule="exact"/>
              <w:rPr>
                <w:rFonts w:hAnsi="宋体" w:eastAsia="宋体" w:cs="宋体"/>
                <w:color w:val="000000"/>
                <w:szCs w:val="24"/>
                <w:highlight w:val="none"/>
              </w:rPr>
            </w:pPr>
          </w:p>
        </w:tc>
      </w:tr>
    </w:tbl>
    <w:p w14:paraId="1E3740C3">
      <w:pPr>
        <w:autoSpaceDE w:val="0"/>
        <w:autoSpaceDN w:val="0"/>
        <w:adjustRightInd w:val="0"/>
        <w:snapToGrid w:val="0"/>
        <w:spacing w:line="42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说明：</w:t>
      </w:r>
    </w:p>
    <w:p w14:paraId="5FEE3DA5">
      <w:pPr>
        <w:autoSpaceDE w:val="0"/>
        <w:autoSpaceDN w:val="0"/>
        <w:adjustRightInd w:val="0"/>
        <w:snapToGrid w:val="0"/>
        <w:spacing w:line="420" w:lineRule="exact"/>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1.声明：除本商务偏离表中所列的偏离项目外，其它所有商务均完全响应“</w:t>
      </w:r>
      <w:r>
        <w:rPr>
          <w:rFonts w:hint="eastAsia" w:ascii="宋体" w:hAnsi="宋体" w:eastAsia="宋体" w:cs="宋体"/>
          <w:color w:val="000000"/>
          <w:szCs w:val="24"/>
          <w:highlight w:val="none"/>
          <w:lang w:val="en-US" w:eastAsia="zh-CN"/>
        </w:rPr>
        <w:t>磋商</w:t>
      </w:r>
      <w:r>
        <w:rPr>
          <w:rFonts w:hint="eastAsia" w:ascii="宋体" w:hAnsi="宋体" w:eastAsia="宋体" w:cs="宋体"/>
          <w:color w:val="000000"/>
          <w:szCs w:val="24"/>
          <w:highlight w:val="none"/>
        </w:rPr>
        <w:t>文件” 中的要求。</w:t>
      </w:r>
    </w:p>
    <w:p w14:paraId="15746027">
      <w:pPr>
        <w:autoSpaceDE w:val="0"/>
        <w:autoSpaceDN w:val="0"/>
        <w:adjustRightInd w:val="0"/>
        <w:snapToGrid w:val="0"/>
        <w:spacing w:line="420" w:lineRule="exact"/>
        <w:rPr>
          <w:rFonts w:ascii="宋体" w:hAnsi="宋体" w:eastAsia="宋体" w:cs="宋体"/>
          <w:b/>
          <w:bCs/>
          <w:color w:val="000000"/>
          <w:szCs w:val="24"/>
          <w:highlight w:val="none"/>
        </w:rPr>
      </w:pPr>
      <w:r>
        <w:rPr>
          <w:rFonts w:hint="eastAsia" w:ascii="宋体" w:hAnsi="宋体" w:eastAsia="宋体" w:cs="宋体"/>
          <w:b/>
          <w:bCs/>
          <w:color w:val="000000"/>
          <w:szCs w:val="24"/>
          <w:highlight w:val="none"/>
        </w:rPr>
        <w:t xml:space="preserve">                                      </w:t>
      </w:r>
    </w:p>
    <w:p w14:paraId="3ADB0084">
      <w:pPr>
        <w:spacing w:line="360" w:lineRule="auto"/>
        <w:rPr>
          <w:rFonts w:ascii="宋体" w:hAnsi="宋体" w:eastAsia="宋体" w:cs="宋体"/>
          <w:szCs w:val="24"/>
          <w:highlight w:val="none"/>
        </w:rPr>
      </w:pPr>
      <w:r>
        <w:rPr>
          <w:rFonts w:hint="eastAsia" w:ascii="宋体" w:hAnsi="宋体" w:eastAsia="宋体" w:cs="宋体"/>
          <w:szCs w:val="24"/>
          <w:highlight w:val="none"/>
          <w:lang w:val="zh-CN"/>
        </w:rPr>
        <w:t>供应商</w:t>
      </w:r>
      <w:r>
        <w:rPr>
          <w:rFonts w:hint="eastAsia" w:ascii="宋体" w:hAnsi="宋体" w:eastAsia="宋体" w:cs="宋体"/>
          <w:szCs w:val="24"/>
          <w:highlight w:val="none"/>
        </w:rPr>
        <w:t>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（盖章） </w:t>
      </w:r>
    </w:p>
    <w:p w14:paraId="6BB78D09">
      <w:pPr>
        <w:spacing w:line="360" w:lineRule="auto"/>
        <w:rPr>
          <w:rFonts w:ascii="宋体" w:hAnsi="宋体" w:cs="宋体"/>
          <w:highlight w:val="none"/>
          <w:u w:val="single"/>
        </w:rPr>
      </w:pPr>
      <w:r>
        <w:rPr>
          <w:rFonts w:hint="eastAsia" w:ascii="宋体" w:hAnsi="宋体" w:cs="宋体"/>
          <w:highlight w:val="none"/>
        </w:rPr>
        <w:t>法定代表人或授权代表：</w:t>
      </w:r>
      <w:r>
        <w:rPr>
          <w:rFonts w:hint="eastAsia" w:ascii="宋体" w:hAnsi="宋体" w:cs="宋体"/>
          <w:highlight w:val="none"/>
          <w:u w:val="single"/>
        </w:rPr>
        <w:t xml:space="preserve">       </w:t>
      </w:r>
      <w:r>
        <w:rPr>
          <w:rFonts w:hint="eastAsia" w:ascii="宋体" w:hAnsi="宋体" w:cs="宋体"/>
          <w:highlight w:val="none"/>
        </w:rPr>
        <w:t>（签字或盖章）</w:t>
      </w:r>
    </w:p>
    <w:p w14:paraId="1ECA6A68">
      <w:pPr>
        <w:autoSpaceDE w:val="0"/>
        <w:autoSpaceDN w:val="0"/>
        <w:adjustRightInd w:val="0"/>
        <w:snapToGrid w:val="0"/>
        <w:spacing w:line="360" w:lineRule="auto"/>
        <w:rPr>
          <w:rFonts w:ascii="宋体" w:hAnsi="宋体" w:cs="宋体"/>
          <w:bCs/>
          <w:caps/>
          <w:color w:val="000000"/>
          <w:highlight w:val="none"/>
        </w:rPr>
      </w:pPr>
      <w:r>
        <w:rPr>
          <w:rFonts w:hint="eastAsia" w:ascii="宋体" w:hAnsi="宋体" w:cs="宋体"/>
          <w:highlight w:val="none"/>
        </w:rPr>
        <w:t>日  期：</w:t>
      </w:r>
      <w:r>
        <w:rPr>
          <w:rFonts w:hint="eastAsia" w:ascii="宋体" w:hAnsi="宋体" w:cs="宋体"/>
          <w:color w:val="000000"/>
          <w:highlight w:val="none"/>
          <w:u w:val="single"/>
        </w:rPr>
        <w:t xml:space="preserve">          </w:t>
      </w:r>
      <w:r>
        <w:rPr>
          <w:rFonts w:hint="eastAsia" w:ascii="宋体" w:hAnsi="宋体" w:cs="宋体"/>
          <w:color w:val="000000"/>
          <w:highlight w:val="none"/>
        </w:rPr>
        <w:t>年</w:t>
      </w:r>
      <w:r>
        <w:rPr>
          <w:rFonts w:hint="eastAsia" w:ascii="宋体" w:hAnsi="宋体" w:cs="宋体"/>
          <w:color w:val="000000"/>
          <w:highlight w:val="none"/>
          <w:u w:val="single"/>
        </w:rPr>
        <w:t xml:space="preserve">         </w:t>
      </w:r>
      <w:r>
        <w:rPr>
          <w:rFonts w:hint="eastAsia" w:ascii="宋体" w:hAnsi="宋体" w:cs="宋体"/>
          <w:color w:val="000000"/>
          <w:highlight w:val="none"/>
        </w:rPr>
        <w:t>月</w:t>
      </w:r>
      <w:r>
        <w:rPr>
          <w:rFonts w:hint="eastAsia" w:ascii="宋体" w:hAnsi="宋体" w:cs="宋体"/>
          <w:color w:val="000000"/>
          <w:highlight w:val="none"/>
          <w:u w:val="single"/>
        </w:rPr>
        <w:t xml:space="preserve">         </w:t>
      </w:r>
      <w:r>
        <w:rPr>
          <w:rFonts w:hint="eastAsia" w:ascii="宋体" w:hAnsi="宋体" w:cs="宋体"/>
          <w:color w:val="000000"/>
          <w:highlight w:val="none"/>
        </w:rPr>
        <w:t>日</w:t>
      </w:r>
      <w:r>
        <w:rPr>
          <w:rFonts w:hint="eastAsia" w:ascii="宋体" w:hAnsi="宋体" w:cs="宋体"/>
          <w:bCs/>
          <w:caps/>
          <w:color w:val="000000"/>
          <w:highlight w:val="none"/>
        </w:rPr>
        <w:t xml:space="preserve"> </w:t>
      </w:r>
    </w:p>
    <w:p w14:paraId="58D40E72">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p w14:paraId="4A467BCE">
      <w:pPr>
        <w:jc w:val="both"/>
        <w:rPr>
          <w:rFonts w:hint="eastAsia" w:ascii="宋体" w:hAnsi="宋体" w:eastAsia="宋体" w:cs="宋体"/>
          <w:b/>
          <w:color w:val="000000" w:themeColor="text1"/>
          <w:kern w:val="0"/>
          <w:sz w:val="28"/>
          <w:highlight w:val="none"/>
          <w14:textFill>
            <w14:solidFill>
              <w14:schemeClr w14:val="tx1"/>
            </w14:solidFill>
          </w14:textFill>
        </w:rPr>
      </w:pPr>
    </w:p>
    <w:p w14:paraId="1F0DB06D">
      <w:pPr>
        <w:jc w:val="center"/>
        <w:rPr>
          <w:rFonts w:hint="eastAsia" w:ascii="宋体" w:hAnsi="宋体" w:eastAsia="宋体" w:cs="宋体"/>
          <w:b/>
          <w:color w:val="000000" w:themeColor="text1"/>
          <w:kern w:val="0"/>
          <w:sz w:val="28"/>
          <w:highlight w:val="none"/>
          <w14:textFill>
            <w14:solidFill>
              <w14:schemeClr w14:val="tx1"/>
            </w14:solidFill>
          </w14:textFill>
        </w:rPr>
      </w:pPr>
    </w:p>
    <w:p w14:paraId="5BBC71ED">
      <w:pPr>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5</w:t>
      </w:r>
      <w:r>
        <w:rPr>
          <w:rFonts w:hint="eastAsia" w:ascii="宋体" w:hAnsi="宋体" w:eastAsia="宋体" w:cs="宋体"/>
          <w:b/>
          <w:color w:val="000000" w:themeColor="text1"/>
          <w:kern w:val="0"/>
          <w:sz w:val="28"/>
          <w:highlight w:val="none"/>
          <w14:textFill>
            <w14:solidFill>
              <w14:schemeClr w14:val="tx1"/>
            </w14:solidFill>
          </w14:textFill>
        </w:rPr>
        <w:t>.磋商保证金缴纳凭证</w:t>
      </w:r>
    </w:p>
    <w:tbl>
      <w:tblPr>
        <w:tblStyle w:val="38"/>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4FEB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9" w:hRule="atLeast"/>
        </w:trPr>
        <w:tc>
          <w:tcPr>
            <w:tcW w:w="9300" w:type="dxa"/>
          </w:tcPr>
          <w:p w14:paraId="72A52225">
            <w:pPr>
              <w:spacing w:line="520" w:lineRule="exact"/>
              <w:ind w:firstLine="524" w:firstLineChars="200"/>
              <w:rPr>
                <w:rFonts w:ascii="宋体" w:hAnsi="宋体" w:eastAsia="宋体" w:cs="宋体"/>
                <w:spacing w:val="11"/>
                <w:highlight w:val="none"/>
              </w:rPr>
            </w:pPr>
          </w:p>
          <w:p w14:paraId="0F623E7A">
            <w:pPr>
              <w:spacing w:line="520" w:lineRule="exact"/>
              <w:ind w:firstLine="524" w:firstLineChars="200"/>
              <w:rPr>
                <w:rFonts w:ascii="宋体" w:hAnsi="宋体" w:eastAsia="宋体" w:cs="宋体"/>
                <w:spacing w:val="11"/>
                <w:highlight w:val="none"/>
              </w:rPr>
            </w:pPr>
          </w:p>
          <w:p w14:paraId="5EB38CAE">
            <w:pPr>
              <w:spacing w:line="520" w:lineRule="exact"/>
              <w:ind w:firstLine="524" w:firstLineChars="200"/>
              <w:rPr>
                <w:rFonts w:ascii="宋体" w:hAnsi="宋体" w:eastAsia="宋体" w:cs="宋体"/>
                <w:spacing w:val="11"/>
                <w:highlight w:val="none"/>
              </w:rPr>
            </w:pPr>
          </w:p>
          <w:p w14:paraId="08D05FE8">
            <w:pPr>
              <w:spacing w:line="520" w:lineRule="exact"/>
              <w:ind w:firstLine="524" w:firstLineChars="200"/>
              <w:rPr>
                <w:rFonts w:ascii="宋体" w:hAnsi="宋体" w:eastAsia="宋体" w:cs="宋体"/>
                <w:spacing w:val="11"/>
                <w:highlight w:val="none"/>
              </w:rPr>
            </w:pPr>
          </w:p>
          <w:p w14:paraId="444C288E">
            <w:pPr>
              <w:spacing w:line="520" w:lineRule="exact"/>
              <w:ind w:firstLine="524" w:firstLineChars="200"/>
              <w:rPr>
                <w:rFonts w:ascii="宋体" w:hAnsi="宋体" w:eastAsia="宋体" w:cs="宋体"/>
                <w:spacing w:val="11"/>
                <w:highlight w:val="none"/>
              </w:rPr>
            </w:pPr>
          </w:p>
          <w:p w14:paraId="112F49C0">
            <w:pPr>
              <w:spacing w:line="520" w:lineRule="exact"/>
              <w:ind w:firstLine="524" w:firstLineChars="200"/>
              <w:rPr>
                <w:rFonts w:ascii="宋体" w:hAnsi="宋体" w:eastAsia="宋体" w:cs="宋体"/>
                <w:spacing w:val="11"/>
                <w:highlight w:val="none"/>
              </w:rPr>
            </w:pPr>
          </w:p>
          <w:p w14:paraId="21EF5640">
            <w:pPr>
              <w:spacing w:line="520" w:lineRule="exact"/>
              <w:ind w:firstLine="524" w:firstLineChars="200"/>
              <w:rPr>
                <w:rFonts w:ascii="宋体" w:hAnsi="宋体" w:eastAsia="宋体" w:cs="宋体"/>
                <w:spacing w:val="11"/>
                <w:highlight w:val="none"/>
              </w:rPr>
            </w:pPr>
          </w:p>
          <w:p w14:paraId="59BDAC1E">
            <w:pPr>
              <w:spacing w:line="520" w:lineRule="exact"/>
              <w:ind w:firstLine="524" w:firstLineChars="200"/>
              <w:jc w:val="center"/>
              <w:rPr>
                <w:rFonts w:ascii="宋体" w:hAnsi="宋体" w:eastAsia="宋体" w:cs="宋体"/>
                <w:spacing w:val="11"/>
                <w:highlight w:val="none"/>
              </w:rPr>
            </w:pPr>
            <w:r>
              <w:rPr>
                <w:rFonts w:hint="eastAsia" w:ascii="宋体" w:hAnsi="宋体" w:eastAsia="宋体" w:cs="宋体"/>
                <w:spacing w:val="11"/>
                <w:highlight w:val="none"/>
              </w:rPr>
              <w:t>供应商</w:t>
            </w:r>
            <w:r>
              <w:rPr>
                <w:rFonts w:hint="eastAsia" w:ascii="宋体" w:hAnsi="宋体" w:eastAsia="宋体" w:cs="宋体"/>
                <w:spacing w:val="11"/>
                <w:highlight w:val="none"/>
                <w:lang w:val="zh-CN"/>
              </w:rPr>
              <w:t>应在此提供</w:t>
            </w:r>
            <w:r>
              <w:rPr>
                <w:rFonts w:hint="eastAsia" w:ascii="宋体" w:hAnsi="宋体" w:eastAsia="宋体" w:cs="宋体"/>
                <w:spacing w:val="11"/>
                <w:highlight w:val="none"/>
              </w:rPr>
              <w:t>磋商保证金</w:t>
            </w:r>
            <w:r>
              <w:rPr>
                <w:rFonts w:hint="eastAsia" w:ascii="宋体" w:hAnsi="宋体" w:eastAsia="宋体" w:cs="宋体"/>
                <w:spacing w:val="11"/>
                <w:highlight w:val="none"/>
                <w:lang w:val="zh-CN"/>
              </w:rPr>
              <w:t>转账汇款凭证的复印件</w:t>
            </w:r>
            <w:r>
              <w:rPr>
                <w:rFonts w:hint="eastAsia" w:ascii="宋体" w:hAnsi="宋体" w:eastAsia="宋体" w:cs="宋体"/>
                <w:spacing w:val="11"/>
                <w:highlight w:val="none"/>
              </w:rPr>
              <w:t>或银行保函复印件</w:t>
            </w:r>
          </w:p>
          <w:p w14:paraId="30D40CCA">
            <w:pPr>
              <w:pStyle w:val="13"/>
              <w:rPr>
                <w:rFonts w:ascii="宋体" w:hAnsi="宋体" w:eastAsia="宋体" w:cs="宋体"/>
                <w:highlight w:val="none"/>
              </w:rPr>
            </w:pPr>
          </w:p>
        </w:tc>
      </w:tr>
    </w:tbl>
    <w:p w14:paraId="6971E10A">
      <w:pPr>
        <w:pStyle w:val="13"/>
        <w:rPr>
          <w:rFonts w:ascii="宋体" w:hAnsi="宋体" w:eastAsia="宋体" w:cs="宋体"/>
          <w:highlight w:val="none"/>
        </w:rPr>
      </w:pPr>
    </w:p>
    <w:p w14:paraId="1C6D33FE">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p w14:paraId="1B61341C">
      <w:pPr>
        <w:keepNext w:val="0"/>
        <w:keepLines w:val="0"/>
        <w:pageBreakBefore w:val="0"/>
        <w:kinsoku/>
        <w:wordWrap/>
        <w:overflowPunct/>
        <w:topLinePunct w:val="0"/>
        <w:autoSpaceDE/>
        <w:autoSpaceDN/>
        <w:bidi w:val="0"/>
        <w:adjustRightInd/>
        <w:snapToGrid/>
        <w:spacing w:line="500" w:lineRule="exact"/>
        <w:ind w:firstLine="3614" w:firstLineChars="1500"/>
        <w:jc w:val="lef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交易保证金信用承诺书</w:t>
      </w:r>
    </w:p>
    <w:p w14:paraId="5F88CED4">
      <w:pPr>
        <w:pStyle w:val="13"/>
        <w:spacing w:line="360" w:lineRule="auto"/>
        <w:rPr>
          <w:rFonts w:hint="eastAsia"/>
          <w:u w:val="single"/>
        </w:rPr>
      </w:pPr>
      <w:r>
        <w:rPr>
          <w:rFonts w:hint="eastAsia"/>
          <w:u w:val="single"/>
        </w:rPr>
        <w:t>(招标采购单位名称):</w:t>
      </w:r>
    </w:p>
    <w:p w14:paraId="7652346B">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为维护公平、公正、公开的招标采购市场秩序，树立诚实守信的投标人供应商形象，我单位自愿作出以下承诺:</w:t>
      </w:r>
    </w:p>
    <w:p w14:paraId="163A9DC5">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单位名称:</w:t>
      </w:r>
      <w:r>
        <w:rPr>
          <w:rFonts w:hint="eastAsia"/>
          <w:u w:val="single"/>
          <w:lang w:val="en-US" w:eastAsia="zh-CN"/>
        </w:rPr>
        <w:t xml:space="preserve">                                                     </w:t>
      </w:r>
    </w:p>
    <w:p w14:paraId="77977338">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统一社会信用代码:</w:t>
      </w:r>
      <w:r>
        <w:rPr>
          <w:rFonts w:hint="eastAsia"/>
          <w:u w:val="single"/>
          <w:lang w:val="en-US" w:eastAsia="zh-CN"/>
        </w:rPr>
        <w:t xml:space="preserve">                                             </w:t>
      </w:r>
    </w:p>
    <w:p w14:paraId="55B50CDD">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法定代表人:</w:t>
      </w:r>
      <w:r>
        <w:rPr>
          <w:rFonts w:hint="eastAsia"/>
          <w:u w:val="single"/>
          <w:lang w:val="en-US" w:eastAsia="zh-CN"/>
        </w:rPr>
        <w:t xml:space="preserve">                                                   </w:t>
      </w:r>
    </w:p>
    <w:p w14:paraId="599B2E8A">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地址和联系电话:</w:t>
      </w:r>
      <w:r>
        <w:rPr>
          <w:rFonts w:hint="eastAsia"/>
          <w:u w:val="single"/>
          <w:lang w:val="en-US" w:eastAsia="zh-CN"/>
        </w:rPr>
        <w:t xml:space="preserve">                                               </w:t>
      </w:r>
    </w:p>
    <w:p w14:paraId="4F791670">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一、我单位具备承担招标采购项目的能力，自愿参加</w:t>
      </w:r>
      <w:r>
        <w:rPr>
          <w:rFonts w:hint="eastAsia"/>
          <w:u w:val="single"/>
          <w:lang w:val="en-US" w:eastAsia="zh-CN"/>
        </w:rPr>
        <w:t xml:space="preserve">            </w:t>
      </w:r>
      <w:r>
        <w:rPr>
          <w:rFonts w:hint="eastAsia"/>
          <w:u w:val="single"/>
        </w:rPr>
        <w:t>项目名称</w:t>
      </w:r>
      <w:r>
        <w:rPr>
          <w:rFonts w:hint="eastAsia"/>
        </w:rPr>
        <w:t>)招标采购活动，严格遵守《中华人民共和国招标投标法》《中华人民共和国政府采购法》及相关法律法规，依法守信，诚信履约，自觉执行招标采购活动的各项规定。</w:t>
      </w:r>
    </w:p>
    <w:p w14:paraId="2377E209">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rPr>
      </w:pPr>
      <w:r>
        <w:rPr>
          <w:rFonts w:hint="eastAsia"/>
          <w:highlight w:val="none"/>
        </w:rPr>
        <w:t>二、按照国家公共信用和行业、地方、第三方信用体系建设实践，我单位属于地方公共信用(行业信用评价、第三方信用评价)(选其一打钩)评价“诚信企业”。以上信用评价结果及政策文件附后。</w:t>
      </w:r>
    </w:p>
    <w:p w14:paraId="31BE4B7D">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三、我单位如有发生下述任何一种违约行为，自愿承担相关法律责任，5年内自动放弃在宝鸡市项目招标采购中使用《交易保证金信用承诺书》资格。并于收到招标人采购人书面通知7个工作日内，将文件规定的投标保证金足额缴纳至招标人指定账户予以没收，作为处罚。如若拒交，招标人采购人优先选择市公共资源交易中心认可的宝鸡商事纠纷信用调解中心进行调解或仲裁或诉讼。交易中心有权取消失信主体在宝鸡参与招标采购、进场交易等权益。</w:t>
      </w:r>
    </w:p>
    <w:p w14:paraId="78CB3EFB">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w:t>
      </w:r>
      <w:r>
        <w:rPr>
          <w:rFonts w:hint="eastAsia"/>
          <w:lang w:val="en-US" w:eastAsia="zh-CN"/>
        </w:rPr>
        <w:t>一</w:t>
      </w:r>
      <w:r>
        <w:rPr>
          <w:rFonts w:hint="eastAsia"/>
        </w:rPr>
        <w:t>)在招标采购文件中规定的有效期内撤销投标采购文件;</w:t>
      </w:r>
    </w:p>
    <w:p w14:paraId="48A7C9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(二)中标后在规定期限内无正当理由不与招标人采购人签订合同，或者未按招标采购文件规定提交履约保证金;</w:t>
      </w:r>
    </w:p>
    <w:p w14:paraId="784B48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(三)未按照宝鸡市公共资源交易规定，及时足额缴纳进场交易服务费，或仍有拖欠交易服务费;</w:t>
      </w:r>
    </w:p>
    <w:p w14:paraId="3726AB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(四)行政监管机构认定投标采购人有串通投标或弄虚作假等违法违纪行为;</w:t>
      </w:r>
    </w:p>
    <w:p w14:paraId="5FF429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(五)法律法规规定的其他情形。</w:t>
      </w:r>
    </w:p>
    <w:p w14:paraId="63EF63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四、同意将承诺和失诺信息纳入宝鸡市公共资源交易领域信用记录并归集至信用中国(陕西宝鸡)等信用平台合规应用。</w:t>
      </w:r>
    </w:p>
    <w:p w14:paraId="0B52BC10">
      <w:pPr>
        <w:widowControl w:val="0"/>
        <w:numPr>
          <w:ilvl w:val="0"/>
          <w:numId w:val="0"/>
        </w:numPr>
        <w:spacing w:line="360" w:lineRule="auto"/>
        <w:jc w:val="both"/>
        <w:rPr>
          <w:rFonts w:hint="eastAsia"/>
        </w:rPr>
      </w:pPr>
      <w:r>
        <w:rPr>
          <w:rFonts w:hint="eastAsia"/>
        </w:rPr>
        <w:t>特此承诺。</w:t>
      </w:r>
    </w:p>
    <w:p w14:paraId="0FD9C03B">
      <w:pPr>
        <w:widowControl w:val="0"/>
        <w:numPr>
          <w:ilvl w:val="0"/>
          <w:numId w:val="0"/>
        </w:numPr>
        <w:spacing w:line="360" w:lineRule="auto"/>
        <w:jc w:val="both"/>
        <w:rPr>
          <w:rFonts w:hint="eastAsia"/>
        </w:rPr>
      </w:pPr>
      <w:r>
        <w:rPr>
          <w:rFonts w:hint="eastAsia"/>
        </w:rPr>
        <w:t>附件:信用评价结果及政策依据文件</w:t>
      </w:r>
    </w:p>
    <w:p w14:paraId="301079CF">
      <w:pPr>
        <w:widowControl w:val="0"/>
        <w:numPr>
          <w:ilvl w:val="0"/>
          <w:numId w:val="0"/>
        </w:numPr>
        <w:spacing w:line="360" w:lineRule="auto"/>
        <w:ind w:firstLine="4800" w:firstLineChars="2000"/>
        <w:jc w:val="left"/>
        <w:rPr>
          <w:rFonts w:hint="eastAsia"/>
          <w:u w:val="single"/>
        </w:rPr>
      </w:pPr>
      <w:r>
        <w:rPr>
          <w:rFonts w:hint="eastAsia"/>
        </w:rPr>
        <w:t>投标人供应商单位名称:(</w:t>
      </w:r>
      <w:r>
        <w:rPr>
          <w:rFonts w:hint="eastAsia"/>
          <w:u w:val="none"/>
        </w:rPr>
        <w:t>盖章)</w:t>
      </w:r>
    </w:p>
    <w:p w14:paraId="2CAD726F">
      <w:pPr>
        <w:widowControl w:val="0"/>
        <w:numPr>
          <w:ilvl w:val="0"/>
          <w:numId w:val="0"/>
        </w:numPr>
        <w:spacing w:line="360" w:lineRule="auto"/>
        <w:ind w:firstLine="4800" w:firstLineChars="2000"/>
        <w:jc w:val="left"/>
        <w:rPr>
          <w:rFonts w:hint="eastAsia"/>
        </w:rPr>
      </w:pPr>
      <w:r>
        <w:rPr>
          <w:rFonts w:hint="eastAsia"/>
        </w:rPr>
        <w:t>法定代表人或授权代表:(签字或签章)</w:t>
      </w:r>
    </w:p>
    <w:p w14:paraId="077DDD59">
      <w:pPr>
        <w:widowControl w:val="0"/>
        <w:numPr>
          <w:ilvl w:val="0"/>
          <w:numId w:val="0"/>
        </w:numPr>
        <w:spacing w:line="360" w:lineRule="auto"/>
        <w:ind w:firstLine="5760" w:firstLineChars="2400"/>
        <w:jc w:val="left"/>
        <w:rPr>
          <w:rFonts w:hint="eastAsia"/>
          <w:lang w:val="en-US" w:eastAsia="zh-CN"/>
        </w:rPr>
        <w:sectPr>
          <w:pgSz w:w="11907" w:h="16840"/>
          <w:pgMar w:top="1440" w:right="1080" w:bottom="1440" w:left="1080" w:header="935" w:footer="771" w:gutter="567"/>
          <w:pgNumType w:fmt="decimal"/>
          <w:cols w:space="0" w:num="1"/>
          <w:docGrid w:linePitch="312" w:charSpace="0"/>
        </w:sectPr>
      </w:pPr>
      <w:r>
        <w:rPr>
          <w:rFonts w:hint="eastAsia"/>
        </w:rPr>
        <w:t>年</w:t>
      </w:r>
      <w:r>
        <w:rPr>
          <w:rFonts w:hint="eastAsia"/>
          <w:lang w:val="en-US" w:eastAsia="zh-CN"/>
        </w:rPr>
        <w:t xml:space="preserve">   </w:t>
      </w:r>
      <w:r>
        <w:rPr>
          <w:rFonts w:hint="eastAsia"/>
        </w:rPr>
        <w:t>月</w:t>
      </w:r>
      <w:r>
        <w:rPr>
          <w:rFonts w:hint="eastAsia"/>
          <w:lang w:val="en-US" w:eastAsia="zh-CN"/>
        </w:rPr>
        <w:t xml:space="preserve">    日</w:t>
      </w:r>
    </w:p>
    <w:p w14:paraId="6A6415F9">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79000BCB">
      <w:pPr>
        <w:pStyle w:val="13"/>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6</w:t>
      </w:r>
      <w:r>
        <w:rPr>
          <w:rFonts w:hint="eastAsia" w:ascii="宋体" w:hAnsi="宋体" w:eastAsia="宋体" w:cs="宋体"/>
          <w:b/>
          <w:color w:val="000000" w:themeColor="text1"/>
          <w:kern w:val="0"/>
          <w:sz w:val="28"/>
          <w:highlight w:val="none"/>
          <w14:textFill>
            <w14:solidFill>
              <w14:schemeClr w14:val="tx1"/>
            </w14:solidFill>
          </w14:textFill>
        </w:rPr>
        <w:t>.供应商承诺书</w:t>
      </w:r>
    </w:p>
    <w:p w14:paraId="13BADCDD">
      <w:pPr>
        <w:spacing w:line="360" w:lineRule="auto"/>
        <w:jc w:val="center"/>
        <w:rPr>
          <w:rFonts w:ascii="宋体" w:hAnsi="宋体" w:eastAsia="宋体" w:cs="宋体"/>
          <w:b/>
          <w:bCs/>
          <w:color w:val="000000" w:themeColor="text1"/>
          <w:szCs w:val="24"/>
          <w:highlight w:val="none"/>
          <w14:textFill>
            <w14:solidFill>
              <w14:schemeClr w14:val="tx1"/>
            </w14:solidFill>
          </w14:textFill>
        </w:rPr>
      </w:pPr>
    </w:p>
    <w:p w14:paraId="68BFC892">
      <w:pPr>
        <w:spacing w:line="720" w:lineRule="auto"/>
        <w:jc w:val="center"/>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6</w:t>
      </w:r>
      <w:r>
        <w:rPr>
          <w:rFonts w:hint="eastAsia" w:ascii="宋体" w:hAnsi="宋体" w:eastAsia="宋体" w:cs="宋体"/>
          <w:b/>
          <w:bCs/>
          <w:color w:val="000000" w:themeColor="text1"/>
          <w:szCs w:val="24"/>
          <w:highlight w:val="none"/>
          <w14:textFill>
            <w14:solidFill>
              <w14:schemeClr w14:val="tx1"/>
            </w14:solidFill>
          </w14:textFill>
        </w:rPr>
        <w:t>.1陕西省政府采购供应商拒绝政府采购领域商业贿赂承诺书</w:t>
      </w:r>
    </w:p>
    <w:p w14:paraId="1D031DA0">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为响应党中央、国务院关于治理政府采购领域商业贿赂行为的号召，我单位作为 </w:t>
      </w:r>
      <w:r>
        <w:rPr>
          <w:rFonts w:hint="eastAsia" w:ascii="宋体" w:hAnsi="宋体" w:eastAsia="宋体" w:cs="宋体"/>
          <w:color w:val="000000"/>
          <w:kern w:val="0"/>
          <w:szCs w:val="24"/>
          <w:highlight w:val="none"/>
          <w:u w:val="single"/>
          <w:lang w:bidi="ar"/>
        </w:rPr>
        <w:t xml:space="preserve">（项目名称） </w:t>
      </w:r>
      <w:r>
        <w:rPr>
          <w:rFonts w:hint="eastAsia" w:ascii="宋体" w:hAnsi="宋体" w:eastAsia="宋体" w:cs="宋体"/>
          <w:color w:val="000000"/>
          <w:kern w:val="0"/>
          <w:szCs w:val="24"/>
          <w:highlight w:val="none"/>
          <w:lang w:bidi="ar"/>
        </w:rPr>
        <w:t xml:space="preserve">的供应商，在此庄严承诺： </w:t>
      </w:r>
    </w:p>
    <w:p w14:paraId="5ED150FE">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1、在参与政府采购活动中遵纪守法、诚信经营、公平竞标。 </w:t>
      </w:r>
    </w:p>
    <w:p w14:paraId="38B05561">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2、不向采购人、采购代理机构和政府采购评审专家进行任何形式的商业贿赂以谋取交易机会。 </w:t>
      </w:r>
    </w:p>
    <w:p w14:paraId="4121A49F">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3、不向政府采购采购代理机构和采购人提供虚假资质文件或采用虚假应标方式参与政府采购市场竞争并谋取中标、成交。 </w:t>
      </w:r>
    </w:p>
    <w:p w14:paraId="1B890CA1">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4、不采取“围标、陪标”等商业欺诈手段获得政府采购定单。 </w:t>
      </w:r>
    </w:p>
    <w:p w14:paraId="6579C3B3">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5、不采取不正当手段低毁、排挤其他供应商。 </w:t>
      </w:r>
    </w:p>
    <w:p w14:paraId="01F08B42">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6、不在提供商品和服务时“偷梁换柱、以次充好”损害采购人的合法权益。 </w:t>
      </w:r>
    </w:p>
    <w:p w14:paraId="261585E5">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7、不与采购人、采购代理机构政府采购评审专家或其它供应商恶意串通，进行 </w:t>
      </w:r>
    </w:p>
    <w:p w14:paraId="509F55D1">
      <w:pPr>
        <w:widowControl/>
        <w:spacing w:line="480" w:lineRule="auto"/>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质疑和投诉，维护政府采购市场秩序。 </w:t>
      </w:r>
    </w:p>
    <w:p w14:paraId="3D6BA6DB">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8、尊重和接受政府采购监督管理部门的监督和政府采购代理机构招标要求，承 </w:t>
      </w:r>
    </w:p>
    <w:p w14:paraId="068586FC">
      <w:pPr>
        <w:widowControl/>
        <w:spacing w:line="480" w:lineRule="auto"/>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担因违约行为给采购人造成的损失。 </w:t>
      </w:r>
    </w:p>
    <w:p w14:paraId="4C3936CD">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9、不发生其他有悖于政府采购公开、公平、公正和诚信原则的行为。 </w:t>
      </w:r>
    </w:p>
    <w:p w14:paraId="491EB15B">
      <w:pPr>
        <w:widowControl/>
        <w:spacing w:line="480" w:lineRule="auto"/>
        <w:jc w:val="left"/>
        <w:rPr>
          <w:rFonts w:ascii="宋体" w:hAnsi="宋体" w:eastAsia="宋体" w:cs="宋体"/>
          <w:color w:val="000000"/>
          <w:kern w:val="0"/>
          <w:szCs w:val="24"/>
          <w:highlight w:val="none"/>
          <w:lang w:bidi="ar"/>
        </w:rPr>
      </w:pPr>
    </w:p>
    <w:p w14:paraId="4497F759">
      <w:pPr>
        <w:widowControl/>
        <w:spacing w:line="480" w:lineRule="auto"/>
        <w:ind w:firstLine="4800" w:firstLineChars="2000"/>
        <w:jc w:val="left"/>
        <w:rPr>
          <w:rFonts w:ascii="宋体" w:hAnsi="宋体" w:eastAsia="宋体" w:cs="宋体"/>
          <w:color w:val="000000"/>
          <w:kern w:val="0"/>
          <w:szCs w:val="24"/>
          <w:highlight w:val="none"/>
          <w:lang w:bidi="ar"/>
        </w:rPr>
      </w:pPr>
      <w:r>
        <w:rPr>
          <w:rFonts w:hint="eastAsia" w:ascii="宋体" w:hAnsi="宋体" w:eastAsia="宋体" w:cs="宋体"/>
          <w:color w:val="000000"/>
          <w:kern w:val="0"/>
          <w:szCs w:val="24"/>
          <w:highlight w:val="none"/>
          <w:lang w:bidi="ar"/>
        </w:rPr>
        <w:t xml:space="preserve">承诺单位： （盖章）   </w:t>
      </w:r>
    </w:p>
    <w:p w14:paraId="75E3C7BD">
      <w:pPr>
        <w:widowControl/>
        <w:spacing w:line="480" w:lineRule="auto"/>
        <w:ind w:firstLine="4800" w:firstLineChars="2000"/>
        <w:jc w:val="left"/>
        <w:rPr>
          <w:rFonts w:ascii="宋体" w:hAnsi="宋体" w:eastAsia="宋体" w:cs="宋体"/>
          <w:color w:val="000000"/>
          <w:kern w:val="0"/>
          <w:szCs w:val="24"/>
          <w:highlight w:val="none"/>
          <w:lang w:bidi="ar"/>
        </w:rPr>
      </w:pPr>
      <w:r>
        <w:rPr>
          <w:rFonts w:hint="eastAsia" w:ascii="宋体" w:hAnsi="宋体" w:eastAsia="宋体" w:cs="宋体"/>
          <w:color w:val="000000"/>
          <w:kern w:val="0"/>
          <w:szCs w:val="24"/>
          <w:highlight w:val="none"/>
          <w:lang w:bidi="ar"/>
        </w:rPr>
        <w:t xml:space="preserve"> 年   月   日</w:t>
      </w:r>
    </w:p>
    <w:p w14:paraId="2715F5D0">
      <w:pPr>
        <w:spacing w:line="360" w:lineRule="auto"/>
        <w:jc w:val="center"/>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6</w:t>
      </w:r>
      <w:r>
        <w:rPr>
          <w:rFonts w:hint="eastAsia" w:ascii="宋体" w:hAnsi="宋体" w:eastAsia="宋体" w:cs="宋体"/>
          <w:b/>
          <w:bCs/>
          <w:color w:val="000000" w:themeColor="text1"/>
          <w:szCs w:val="24"/>
          <w:highlight w:val="none"/>
          <w14:textFill>
            <w14:solidFill>
              <w14:schemeClr w14:val="tx1"/>
            </w14:solidFill>
          </w14:textFill>
        </w:rPr>
        <w:t>.2宝鸡市政府采购供应商诚信承诺书</w:t>
      </w:r>
    </w:p>
    <w:p w14:paraId="5A6C72B0">
      <w:pPr>
        <w:spacing w:line="360" w:lineRule="auto"/>
        <w:jc w:val="left"/>
        <w:rPr>
          <w:rFonts w:ascii="宋体" w:hAnsi="宋体" w:eastAsia="宋体" w:cs="宋体"/>
          <w:color w:val="000000" w:themeColor="text1"/>
          <w:szCs w:val="24"/>
          <w:highlight w:val="none"/>
          <w:u w:val="singl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致：</w:t>
      </w:r>
      <w:r>
        <w:rPr>
          <w:rFonts w:hint="eastAsia" w:ascii="宋体" w:hAnsi="宋体" w:eastAsia="宋体" w:cs="宋体"/>
          <w:color w:val="000000" w:themeColor="text1"/>
          <w:szCs w:val="24"/>
          <w:highlight w:val="none"/>
          <w:u w:val="single"/>
          <w:lang w:val="zh-CN"/>
          <w14:textFill>
            <w14:solidFill>
              <w14:schemeClr w14:val="tx1"/>
            </w14:solidFill>
          </w14:textFill>
        </w:rPr>
        <w:t>（采购人或采购代理机构名称）</w:t>
      </w:r>
    </w:p>
    <w:p w14:paraId="4A7B3D72">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统一社会信用代码为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的我方</w:t>
      </w:r>
      <w:r>
        <w:rPr>
          <w:rFonts w:hint="eastAsia" w:ascii="宋体" w:hAnsi="宋体" w:eastAsia="宋体" w:cs="宋体"/>
          <w:color w:val="000000" w:themeColor="text1"/>
          <w:szCs w:val="24"/>
          <w:highlight w:val="none"/>
          <w:u w:val="single"/>
          <w:lang w:val="zh-CN"/>
          <w14:textFill>
            <w14:solidFill>
              <w14:schemeClr w14:val="tx1"/>
            </w14:solidFill>
          </w14:textFill>
        </w:rPr>
        <w:t>（供应商名称）</w:t>
      </w:r>
      <w:r>
        <w:rPr>
          <w:rFonts w:hint="eastAsia" w:ascii="宋体" w:hAnsi="宋体" w:eastAsia="宋体" w:cs="宋体"/>
          <w:color w:val="000000" w:themeColor="text1"/>
          <w:szCs w:val="24"/>
          <w:highlight w:val="none"/>
          <w:lang w:val="zh-CN"/>
          <w14:textFill>
            <w14:solidFill>
              <w14:schemeClr w14:val="tx1"/>
            </w14:solidFill>
          </w14:textFill>
        </w:rPr>
        <w:t>自愿参加贵单位组织的编号为</w:t>
      </w:r>
      <w:r>
        <w:rPr>
          <w:rFonts w:hint="eastAsia" w:ascii="宋体" w:hAnsi="宋体" w:eastAsia="宋体" w:cs="宋体"/>
          <w:color w:val="000000" w:themeColor="text1"/>
          <w:szCs w:val="24"/>
          <w:highlight w:val="none"/>
          <w:u w:val="single"/>
          <w:lang w:val="zh-CN"/>
          <w14:textFill>
            <w14:solidFill>
              <w14:schemeClr w14:val="tx1"/>
            </w14:solidFill>
          </w14:textFill>
        </w:rPr>
        <w:t>（项目编号）</w:t>
      </w:r>
      <w:r>
        <w:rPr>
          <w:rFonts w:hint="eastAsia" w:ascii="宋体" w:hAnsi="宋体" w:eastAsia="宋体" w:cs="宋体"/>
          <w:color w:val="000000" w:themeColor="text1"/>
          <w:szCs w:val="24"/>
          <w:highlight w:val="none"/>
          <w:lang w:val="zh-CN"/>
          <w14:textFill>
            <w14:solidFill>
              <w14:schemeClr w14:val="tx1"/>
            </w14:solidFill>
          </w14:textFill>
        </w:rPr>
        <w:t>的</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（项目名称）</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的政府采购活动，我方已知悉并理解本项目</w:t>
      </w:r>
      <w:r>
        <w:rPr>
          <w:rFonts w:hint="eastAsia" w:ascii="宋体" w:hAnsi="宋体" w:eastAsia="宋体" w:cs="宋体"/>
          <w:color w:val="000000" w:themeColor="text1"/>
          <w:szCs w:val="24"/>
          <w:highlight w:val="none"/>
          <w14:textFill>
            <w14:solidFill>
              <w14:schemeClr w14:val="tx1"/>
            </w14:solidFill>
          </w14:textFill>
        </w:rPr>
        <w:t>竞争性磋商文件</w:t>
      </w:r>
      <w:r>
        <w:rPr>
          <w:rFonts w:hint="eastAsia" w:ascii="宋体" w:hAnsi="宋体" w:eastAsia="宋体" w:cs="宋体"/>
          <w:color w:val="000000" w:themeColor="text1"/>
          <w:szCs w:val="24"/>
          <w:highlight w:val="none"/>
          <w:lang w:val="zh-CN"/>
          <w14:textFill>
            <w14:solidFill>
              <w14:schemeClr w14:val="tx1"/>
            </w14:solidFill>
          </w14:textFill>
        </w:rPr>
        <w:t>的各项要求为贯彻公开、公平、公正和诚实信用的政府采购原则，共同维护宝鸡市政府采购市场良好秩序，我方郑重声明和承诺如下：</w:t>
      </w:r>
    </w:p>
    <w:p w14:paraId="7B525882">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一、在参加本次政府采购活动中严格遵守《中</w:t>
      </w:r>
      <w:r>
        <w:rPr>
          <w:rFonts w:hint="eastAsia" w:ascii="宋体" w:hAnsi="宋体" w:eastAsia="宋体" w:cs="宋体"/>
          <w:color w:val="000000" w:themeColor="text1"/>
          <w:szCs w:val="24"/>
          <w:highlight w:val="none"/>
          <w:lang w:val="zh-CN" w:eastAsia="zh-CN"/>
          <w14:textFill>
            <w14:solidFill>
              <w14:schemeClr w14:val="tx1"/>
            </w14:solidFill>
          </w14:textFill>
        </w:rPr>
        <w:t>华</w:t>
      </w:r>
      <w:r>
        <w:rPr>
          <w:rFonts w:hint="eastAsia" w:ascii="宋体" w:hAnsi="宋体" w:eastAsia="宋体" w:cs="宋体"/>
          <w:color w:val="000000" w:themeColor="text1"/>
          <w:szCs w:val="24"/>
          <w:highlight w:val="none"/>
          <w:lang w:val="zh-CN"/>
          <w14:textFill>
            <w14:solidFill>
              <w14:schemeClr w14:val="tx1"/>
            </w14:solidFill>
          </w14:textFill>
        </w:rPr>
        <w:t>人民共和国政府采购法》等法律、法规、规章及宝鸡市有关规定。</w:t>
      </w:r>
    </w:p>
    <w:p w14:paraId="6E5AAAA9">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二、我方郑重声明，在参加本次政府采购活动前三年内，无因违法经营受到刑事处罚或者责令停产停业、吊销许可证或者执照较大数额罚款等重大违法记录。</w:t>
      </w:r>
    </w:p>
    <w:p w14:paraId="681DDCD1">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我方同时声明，在参加本次政府采购活动前，未被列入失信被执行人、重大税收违法案件当事人名单、政府采购严重违法失信行为记录名单，我方对以上声明的真实性负责，接受采购人、采购代理机构根据相关政策规定进行的信用记录查询。如发现以上声明不实，我方承担相应后果。</w:t>
      </w:r>
    </w:p>
    <w:p w14:paraId="482DDAF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三、我方郑重承诺，在参加本次政府采购活动中：</w:t>
      </w:r>
    </w:p>
    <w:p w14:paraId="44C8D07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(1）不向采购人、采购代理机构和评审专家提供任何形式的商业贿赂或者提供其他不正当利益。对索取或接受商业贿赂的单位和个人，及时向财政部门和监察机关举报；</w:t>
      </w:r>
    </w:p>
    <w:p w14:paraId="5643E07D">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(2）不与其它供应商串通采取围标、陪标等商业欺诈手段谋取中标(成交)；</w:t>
      </w:r>
    </w:p>
    <w:p w14:paraId="5E22624B">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3</w:t>
      </w:r>
      <w:r>
        <w:rPr>
          <w:rFonts w:hint="eastAsia" w:ascii="宋体" w:hAnsi="宋体" w:eastAsia="宋体" w:cs="宋体"/>
          <w:color w:val="000000" w:themeColor="text1"/>
          <w:szCs w:val="24"/>
          <w:highlight w:val="none"/>
          <w:lang w:val="zh-CN"/>
          <w14:textFill>
            <w14:solidFill>
              <w14:schemeClr w14:val="tx1"/>
            </w14:solidFill>
          </w14:textFill>
        </w:rPr>
        <w:t>）不出借或借用资质；</w:t>
      </w:r>
    </w:p>
    <w:p w14:paraId="7DC1EF72">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zh-CN"/>
          <w14:textFill>
            <w14:solidFill>
              <w14:schemeClr w14:val="tx1"/>
            </w14:solidFill>
          </w14:textFill>
        </w:rPr>
        <w:t>）不与采购人、采购代理机构、评审专家恶意串通；</w:t>
      </w:r>
    </w:p>
    <w:p w14:paraId="606C98C7">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5</w:t>
      </w:r>
      <w:r>
        <w:rPr>
          <w:rFonts w:hint="eastAsia" w:ascii="宋体" w:hAnsi="宋体" w:eastAsia="宋体" w:cs="宋体"/>
          <w:color w:val="000000" w:themeColor="text1"/>
          <w:szCs w:val="24"/>
          <w:highlight w:val="none"/>
          <w:lang w:val="zh-CN"/>
          <w14:textFill>
            <w14:solidFill>
              <w14:schemeClr w14:val="tx1"/>
            </w14:solidFill>
          </w14:textFill>
        </w:rPr>
        <w:t>）不采取不正当手段诋毁、排挤其他供应商；</w:t>
      </w:r>
    </w:p>
    <w:p w14:paraId="27AAC993">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6</w:t>
      </w:r>
      <w:r>
        <w:rPr>
          <w:rFonts w:hint="eastAsia" w:ascii="宋体" w:hAnsi="宋体" w:eastAsia="宋体" w:cs="宋体"/>
          <w:color w:val="000000" w:themeColor="text1"/>
          <w:szCs w:val="24"/>
          <w:highlight w:val="none"/>
          <w:lang w:val="zh-CN"/>
          <w14:textFill>
            <w14:solidFill>
              <w14:schemeClr w14:val="tx1"/>
            </w14:solidFill>
          </w14:textFill>
        </w:rPr>
        <w:t>）不以虚假材料谋取中标(成交)；</w:t>
      </w:r>
    </w:p>
    <w:p w14:paraId="495F5385">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7</w:t>
      </w:r>
      <w:r>
        <w:rPr>
          <w:rFonts w:hint="eastAsia" w:ascii="宋体" w:hAnsi="宋体" w:eastAsia="宋体" w:cs="宋体"/>
          <w:color w:val="000000" w:themeColor="text1"/>
          <w:szCs w:val="24"/>
          <w:highlight w:val="none"/>
          <w:lang w:val="zh-CN"/>
          <w14:textFill>
            <w14:solidFill>
              <w14:schemeClr w14:val="tx1"/>
            </w14:solidFill>
          </w14:textFill>
        </w:rPr>
        <w:t>）不以低于成本价或恶意低价竞争；</w:t>
      </w:r>
    </w:p>
    <w:p w14:paraId="31620FB9">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8</w:t>
      </w:r>
      <w:r>
        <w:rPr>
          <w:rFonts w:hint="eastAsia" w:ascii="宋体" w:hAnsi="宋体" w:eastAsia="宋体" w:cs="宋体"/>
          <w:color w:val="000000" w:themeColor="text1"/>
          <w:szCs w:val="24"/>
          <w:highlight w:val="none"/>
          <w:lang w:val="zh-CN"/>
          <w14:textFill>
            <w14:solidFill>
              <w14:schemeClr w14:val="tx1"/>
            </w14:solidFill>
          </w14:textFill>
        </w:rPr>
        <w:t>）不与采购人在招标采购过程中进行协商谈判；</w:t>
      </w:r>
    </w:p>
    <w:p w14:paraId="2903044B">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9</w:t>
      </w:r>
      <w:r>
        <w:rPr>
          <w:rFonts w:hint="eastAsia" w:ascii="宋体" w:hAnsi="宋体" w:eastAsia="宋体" w:cs="宋体"/>
          <w:color w:val="000000" w:themeColor="text1"/>
          <w:szCs w:val="24"/>
          <w:highlight w:val="none"/>
          <w:lang w:val="zh-CN"/>
          <w14:textFill>
            <w14:solidFill>
              <w14:schemeClr w14:val="tx1"/>
            </w14:solidFill>
          </w14:textFill>
        </w:rPr>
        <w:t>）中标或者成交后不得提供假冒伪劣产品；</w:t>
      </w:r>
    </w:p>
    <w:p w14:paraId="49F2EE7A">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10</w:t>
      </w:r>
      <w:r>
        <w:rPr>
          <w:rFonts w:hint="eastAsia" w:ascii="宋体" w:hAnsi="宋体" w:eastAsia="宋体" w:cs="宋体"/>
          <w:color w:val="000000" w:themeColor="text1"/>
          <w:szCs w:val="24"/>
          <w:highlight w:val="none"/>
          <w:lang w:val="zh-CN"/>
          <w14:textFill>
            <w14:solidFill>
              <w14:schemeClr w14:val="tx1"/>
            </w14:solidFill>
          </w14:textFill>
        </w:rPr>
        <w:t>）中标或者成交后非因不可抗力不得变更投标(响应)文件中承诺的项目管理实施人员；</w:t>
      </w:r>
    </w:p>
    <w:p w14:paraId="61C5B44C">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11</w:t>
      </w:r>
      <w:r>
        <w:rPr>
          <w:rFonts w:hint="eastAsia" w:ascii="宋体" w:hAnsi="宋体" w:eastAsia="宋体" w:cs="宋体"/>
          <w:color w:val="000000" w:themeColor="text1"/>
          <w:szCs w:val="24"/>
          <w:highlight w:val="none"/>
          <w:lang w:val="zh-CN"/>
          <w14:textFill>
            <w14:solidFill>
              <w14:schemeClr w14:val="tx1"/>
            </w14:solidFill>
          </w14:textFill>
        </w:rPr>
        <w:t>）中标或者成交后无正当理由不得拒不与采购人签订政府采购合同；</w:t>
      </w:r>
    </w:p>
    <w:p w14:paraId="3A2931A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(12)</w:t>
      </w:r>
      <w:r>
        <w:rPr>
          <w:rFonts w:hint="eastAsia" w:ascii="宋体" w:hAnsi="宋体" w:eastAsia="宋体" w:cs="宋体"/>
          <w:color w:val="000000" w:themeColor="text1"/>
          <w:szCs w:val="24"/>
          <w:highlight w:val="none"/>
          <w:lang w:val="zh-CN"/>
          <w14:textFill>
            <w14:solidFill>
              <w14:schemeClr w14:val="tx1"/>
            </w14:solidFill>
          </w14:textFill>
        </w:rPr>
        <w:t>不得有未按照</w:t>
      </w:r>
      <w:r>
        <w:rPr>
          <w:rFonts w:hint="eastAsia" w:ascii="宋体" w:hAnsi="宋体" w:eastAsia="宋体" w:cs="宋体"/>
          <w:color w:val="000000" w:themeColor="text1"/>
          <w:szCs w:val="24"/>
          <w:highlight w:val="none"/>
          <w14:textFill>
            <w14:solidFill>
              <w14:schemeClr w14:val="tx1"/>
            </w14:solidFill>
          </w14:textFill>
        </w:rPr>
        <w:t>竞争性磋商文件</w:t>
      </w:r>
      <w:r>
        <w:rPr>
          <w:rFonts w:hint="eastAsia" w:ascii="宋体" w:hAnsi="宋体" w:eastAsia="宋体" w:cs="宋体"/>
          <w:color w:val="000000" w:themeColor="text1"/>
          <w:szCs w:val="24"/>
          <w:highlight w:val="none"/>
          <w:lang w:val="zh-CN"/>
          <w14:textFill>
            <w14:solidFill>
              <w14:schemeClr w14:val="tx1"/>
            </w14:solidFill>
          </w14:textFill>
        </w:rPr>
        <w:t>确定的事项与采购人签订政府采购合同，或者与采购人另行订立背离合同实质性内容协议的行为；</w:t>
      </w:r>
    </w:p>
    <w:p w14:paraId="64604CB7">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(13）不转包或违法分包政府采购合同，不擅自变更.中止或者终止政府采购合同；</w:t>
      </w:r>
    </w:p>
    <w:p w14:paraId="3F35AAD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(14)</w:t>
      </w:r>
      <w:r>
        <w:rPr>
          <w:rFonts w:hint="eastAsia" w:ascii="宋体" w:hAnsi="宋体" w:eastAsia="宋体" w:cs="宋体"/>
          <w:color w:val="000000" w:themeColor="text1"/>
          <w:szCs w:val="24"/>
          <w:highlight w:val="none"/>
          <w:lang w:val="zh-CN"/>
          <w14:textFill>
            <w14:solidFill>
              <w14:schemeClr w14:val="tx1"/>
            </w14:solidFill>
          </w14:textFill>
        </w:rPr>
        <w:t>不捏造事实、提供虚假材料或者以非法手段取得证明材料进行质疑投诉；</w:t>
      </w:r>
    </w:p>
    <w:p w14:paraId="0129269E">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w:t>
      </w:r>
      <w:r>
        <w:rPr>
          <w:rFonts w:hint="eastAsia" w:ascii="宋体" w:hAnsi="宋体" w:eastAsia="宋体" w:cs="宋体"/>
          <w:color w:val="000000" w:themeColor="text1"/>
          <w:szCs w:val="24"/>
          <w:highlight w:val="none"/>
          <w:lang w:val="zh-CN"/>
          <w14:textFill>
            <w14:solidFill>
              <w14:schemeClr w14:val="tx1"/>
            </w14:solidFill>
          </w14:textFill>
        </w:rPr>
        <w:t>15</w:t>
      </w:r>
      <w:r>
        <w:rPr>
          <w:rFonts w:hint="eastAsia" w:ascii="宋体" w:hAnsi="宋体" w:eastAsia="宋体" w:cs="宋体"/>
          <w:color w:val="000000" w:themeColor="text1"/>
          <w:szCs w:val="24"/>
          <w:highlight w:val="none"/>
          <w:lang w:val="zh-CN" w:eastAsia="en-US"/>
          <w14:textFill>
            <w14:solidFill>
              <w14:schemeClr w14:val="tx1"/>
            </w14:solidFill>
          </w14:textFill>
        </w:rPr>
        <w:t>)</w:t>
      </w:r>
      <w:r>
        <w:rPr>
          <w:rFonts w:hint="eastAsia" w:ascii="宋体" w:hAnsi="宋体" w:eastAsia="宋体" w:cs="宋体"/>
          <w:color w:val="000000" w:themeColor="text1"/>
          <w:szCs w:val="24"/>
          <w:highlight w:val="none"/>
          <w:lang w:val="zh-CN"/>
          <w14:textFill>
            <w14:solidFill>
              <w14:schemeClr w14:val="tx1"/>
            </w14:solidFill>
          </w14:textFill>
        </w:rPr>
        <w:t>不得有拒绝有关部门监督检查或者提供虚假情况的行为；</w:t>
      </w:r>
    </w:p>
    <w:p w14:paraId="2BC42A75">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(16)</w:t>
      </w:r>
      <w:r>
        <w:rPr>
          <w:rFonts w:hint="eastAsia" w:ascii="宋体" w:hAnsi="宋体" w:eastAsia="宋体" w:cs="宋体"/>
          <w:color w:val="000000" w:themeColor="text1"/>
          <w:szCs w:val="24"/>
          <w:highlight w:val="none"/>
          <w:lang w:val="zh-CN"/>
          <w14:textFill>
            <w14:solidFill>
              <w14:schemeClr w14:val="tx1"/>
            </w14:solidFill>
          </w14:textFill>
        </w:rPr>
        <w:t>不得有其他违反国家法律法规和规章要求的违法犯罪或者失信行为。</w:t>
      </w:r>
    </w:p>
    <w:p w14:paraId="1CED7A13">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四、如有违反以上声明或者承诺之一情形的，我方知悉并接受采购人、采购代理机构和政府采购监督管理部门等政府职能部门将采取以下一种或几种方式追究我方责任：</w:t>
      </w:r>
    </w:p>
    <w:p w14:paraId="3DEB875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1、投标(响应)无效；</w:t>
      </w:r>
    </w:p>
    <w:p w14:paraId="5250C38E">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2、不予退还磋商保证金或者履约保证金；</w:t>
      </w:r>
    </w:p>
    <w:p w14:paraId="3E6F56D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3、约谈法人代表或者主要负责人，责令整改；</w:t>
      </w:r>
    </w:p>
    <w:p w14:paraId="7498A7E7">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4、中标(成交)无效；</w:t>
      </w:r>
    </w:p>
    <w:p w14:paraId="079C34A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5、处以采购金额千分之五以上千分之十以下的罚款，列入不良行为记录名单，在一至三年内禁止参加政府采购活动；</w:t>
      </w:r>
    </w:p>
    <w:p w14:paraId="66B3177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6、没收违法得所得；</w:t>
      </w:r>
    </w:p>
    <w:p w14:paraId="3E229CD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7、吊销营业执照；</w:t>
      </w:r>
    </w:p>
    <w:p w14:paraId="6B82DF4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8、政府相关部门的联合惩戒措施；</w:t>
      </w:r>
    </w:p>
    <w:p w14:paraId="651342D5">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9、追究民事责任；</w:t>
      </w:r>
    </w:p>
    <w:p w14:paraId="05A0860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10、追究刑事责任；</w:t>
      </w:r>
    </w:p>
    <w:p w14:paraId="181F50A3">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11、法律法规规定的其他处理处罚措施。</w:t>
      </w:r>
    </w:p>
    <w:p w14:paraId="4788AC6C">
      <w:pPr>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单位名称（公章）：</w:t>
      </w:r>
    </w:p>
    <w:p w14:paraId="2699D088">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法定代表人或主要负责人签字：</w:t>
      </w:r>
    </w:p>
    <w:p w14:paraId="53069988">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法定代表人或主要负责人身份证复印件：</w:t>
      </w:r>
    </w:p>
    <w:p w14:paraId="2902BF34">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法定代表人或主要负责人联系电话：</w:t>
      </w:r>
    </w:p>
    <w:p w14:paraId="6F01E5B5">
      <w:pPr>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法定代表人或主要负责人邮箱：</w:t>
      </w:r>
    </w:p>
    <w:p w14:paraId="3AD3E601">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bookmarkEnd w:id="108"/>
    <w:bookmarkEnd w:id="109"/>
    <w:bookmarkEnd w:id="110"/>
    <w:bookmarkEnd w:id="111"/>
    <w:bookmarkEnd w:id="112"/>
    <w:bookmarkEnd w:id="113"/>
    <w:bookmarkEnd w:id="114"/>
    <w:bookmarkEnd w:id="115"/>
    <w:bookmarkEnd w:id="116"/>
    <w:bookmarkEnd w:id="117"/>
    <w:bookmarkEnd w:id="118"/>
    <w:p w14:paraId="766CD6F0">
      <w:pPr>
        <w:pStyle w:val="57"/>
        <w:spacing w:line="480" w:lineRule="auto"/>
        <w:ind w:firstLineChars="71"/>
        <w:rPr>
          <w:rFonts w:ascii="宋体" w:hAnsi="宋体" w:eastAsia="宋体" w:cs="宋体"/>
          <w:b/>
          <w:color w:val="000000" w:themeColor="text1"/>
          <w:highlight w:val="none"/>
          <w14:textFill>
            <w14:solidFill>
              <w14:schemeClr w14:val="tx1"/>
            </w14:solidFill>
          </w14:textFill>
        </w:rPr>
      </w:pPr>
      <w:bookmarkStart w:id="119" w:name="_Toc459048317"/>
      <w:bookmarkStart w:id="120" w:name="_Toc458774257"/>
      <w:bookmarkStart w:id="121" w:name="_Toc188808842"/>
      <w:bookmarkStart w:id="122" w:name="_Toc188808855"/>
      <w:bookmarkStart w:id="123" w:name="_Toc193126891"/>
      <w:bookmarkStart w:id="124" w:name="_Toc194663942"/>
      <w:bookmarkStart w:id="125" w:name="_Toc193187111"/>
      <w:bookmarkStart w:id="126" w:name="_Toc193126905"/>
      <w:r>
        <w:rPr>
          <w:rFonts w:hint="eastAsia" w:ascii="宋体" w:hAnsi="宋体" w:eastAsia="宋体" w:cs="宋体"/>
          <w:b/>
          <w:color w:val="000000" w:themeColor="text1"/>
          <w:highlight w:val="none"/>
          <w14:textFill>
            <w14:solidFill>
              <w14:schemeClr w14:val="tx1"/>
            </w14:solidFill>
          </w14:textFill>
        </w:rPr>
        <w:t>四、响应方案</w:t>
      </w:r>
    </w:p>
    <w:bookmarkEnd w:id="119"/>
    <w:bookmarkEnd w:id="120"/>
    <w:p w14:paraId="0DF054C0">
      <w:pPr>
        <w:pStyle w:val="57"/>
        <w:spacing w:line="480" w:lineRule="auto"/>
        <w:ind w:firstLine="0" w:firstLineChars="0"/>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1、供应商概况及其性质</w:t>
      </w:r>
    </w:p>
    <w:tbl>
      <w:tblPr>
        <w:tblStyle w:val="37"/>
        <w:tblW w:w="89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22"/>
        <w:gridCol w:w="1492"/>
        <w:gridCol w:w="1184"/>
        <w:gridCol w:w="1113"/>
        <w:gridCol w:w="178"/>
        <w:gridCol w:w="2344"/>
      </w:tblGrid>
      <w:tr w14:paraId="14BAE9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1586" w:type="dxa"/>
            <w:vAlign w:val="center"/>
          </w:tcPr>
          <w:p w14:paraId="435D755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供应商名称</w:t>
            </w:r>
          </w:p>
        </w:tc>
        <w:tc>
          <w:tcPr>
            <w:tcW w:w="7333" w:type="dxa"/>
            <w:gridSpan w:val="6"/>
            <w:vAlign w:val="center"/>
          </w:tcPr>
          <w:p w14:paraId="7749CBF4">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3D9F9E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14" w:hRule="atLeast"/>
          <w:jc w:val="center"/>
        </w:trPr>
        <w:tc>
          <w:tcPr>
            <w:tcW w:w="1586" w:type="dxa"/>
            <w:vAlign w:val="center"/>
          </w:tcPr>
          <w:p w14:paraId="1B225C31">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注册地址</w:t>
            </w:r>
          </w:p>
        </w:tc>
        <w:tc>
          <w:tcPr>
            <w:tcW w:w="3698" w:type="dxa"/>
            <w:gridSpan w:val="3"/>
            <w:vAlign w:val="center"/>
          </w:tcPr>
          <w:p w14:paraId="658A28B2">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35B1F266">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邮政编码</w:t>
            </w:r>
          </w:p>
        </w:tc>
        <w:tc>
          <w:tcPr>
            <w:tcW w:w="2344" w:type="dxa"/>
            <w:vAlign w:val="center"/>
          </w:tcPr>
          <w:p w14:paraId="1863E885">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6C660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restart"/>
            <w:vAlign w:val="center"/>
          </w:tcPr>
          <w:p w14:paraId="11A35A1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p>
        </w:tc>
        <w:tc>
          <w:tcPr>
            <w:tcW w:w="1022" w:type="dxa"/>
            <w:vAlign w:val="center"/>
          </w:tcPr>
          <w:p w14:paraId="7160F1F2">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p>
        </w:tc>
        <w:tc>
          <w:tcPr>
            <w:tcW w:w="2676" w:type="dxa"/>
            <w:gridSpan w:val="2"/>
            <w:vAlign w:val="center"/>
          </w:tcPr>
          <w:p w14:paraId="2A0030E5">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579E3E74">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电话</w:t>
            </w:r>
          </w:p>
        </w:tc>
        <w:tc>
          <w:tcPr>
            <w:tcW w:w="2344" w:type="dxa"/>
            <w:vAlign w:val="center"/>
          </w:tcPr>
          <w:p w14:paraId="08A3B61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6A490B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continue"/>
            <w:vAlign w:val="center"/>
          </w:tcPr>
          <w:p w14:paraId="71EEDB43">
            <w:pPr>
              <w:spacing w:line="600" w:lineRule="exact"/>
              <w:rPr>
                <w:rFonts w:ascii="宋体" w:hAnsi="宋体" w:eastAsia="宋体" w:cs="宋体"/>
                <w:color w:val="000000" w:themeColor="text1"/>
                <w:szCs w:val="24"/>
                <w:highlight w:val="none"/>
                <w14:textFill>
                  <w14:solidFill>
                    <w14:schemeClr w14:val="tx1"/>
                  </w14:solidFill>
                </w14:textFill>
              </w:rPr>
            </w:pPr>
          </w:p>
        </w:tc>
        <w:tc>
          <w:tcPr>
            <w:tcW w:w="1022" w:type="dxa"/>
            <w:vAlign w:val="center"/>
          </w:tcPr>
          <w:p w14:paraId="485284C3">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传真</w:t>
            </w:r>
          </w:p>
        </w:tc>
        <w:tc>
          <w:tcPr>
            <w:tcW w:w="2676" w:type="dxa"/>
            <w:gridSpan w:val="2"/>
            <w:vAlign w:val="center"/>
          </w:tcPr>
          <w:p w14:paraId="48D7962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2473108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网址</w:t>
            </w:r>
          </w:p>
        </w:tc>
        <w:tc>
          <w:tcPr>
            <w:tcW w:w="2344" w:type="dxa"/>
            <w:vAlign w:val="center"/>
          </w:tcPr>
          <w:p w14:paraId="108CF0B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07D9A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586" w:type="dxa"/>
            <w:vAlign w:val="center"/>
          </w:tcPr>
          <w:p w14:paraId="427797A9">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组织结构</w:t>
            </w:r>
          </w:p>
        </w:tc>
        <w:tc>
          <w:tcPr>
            <w:tcW w:w="7333" w:type="dxa"/>
            <w:gridSpan w:val="6"/>
            <w:vAlign w:val="center"/>
          </w:tcPr>
          <w:p w14:paraId="0FE49A73">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5A92DD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586" w:type="dxa"/>
            <w:vAlign w:val="center"/>
          </w:tcPr>
          <w:p w14:paraId="19B559F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法定代表人</w:t>
            </w:r>
          </w:p>
        </w:tc>
        <w:tc>
          <w:tcPr>
            <w:tcW w:w="1022" w:type="dxa"/>
            <w:vAlign w:val="center"/>
          </w:tcPr>
          <w:p w14:paraId="1E9C675F">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姓名</w:t>
            </w:r>
          </w:p>
        </w:tc>
        <w:tc>
          <w:tcPr>
            <w:tcW w:w="1492" w:type="dxa"/>
            <w:vAlign w:val="center"/>
          </w:tcPr>
          <w:p w14:paraId="72783D50">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184" w:type="dxa"/>
            <w:vAlign w:val="center"/>
          </w:tcPr>
          <w:p w14:paraId="71AEADEC">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电话</w:t>
            </w:r>
          </w:p>
        </w:tc>
        <w:tc>
          <w:tcPr>
            <w:tcW w:w="3635" w:type="dxa"/>
            <w:gridSpan w:val="3"/>
            <w:vAlign w:val="center"/>
          </w:tcPr>
          <w:p w14:paraId="7CC7EAD0">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00839B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586" w:type="dxa"/>
            <w:vAlign w:val="center"/>
          </w:tcPr>
          <w:p w14:paraId="3C889B31">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成立时间</w:t>
            </w:r>
          </w:p>
        </w:tc>
        <w:tc>
          <w:tcPr>
            <w:tcW w:w="2514" w:type="dxa"/>
            <w:gridSpan w:val="2"/>
            <w:vAlign w:val="center"/>
          </w:tcPr>
          <w:p w14:paraId="054432BF">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2297" w:type="dxa"/>
            <w:gridSpan w:val="2"/>
            <w:vAlign w:val="center"/>
          </w:tcPr>
          <w:p w14:paraId="7550CCD4">
            <w:pPr>
              <w:autoSpaceDE w:val="0"/>
              <w:autoSpaceDN w:val="0"/>
              <w:adjustRightInd w:val="0"/>
              <w:spacing w:line="6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员工总人数：</w:t>
            </w:r>
          </w:p>
        </w:tc>
        <w:tc>
          <w:tcPr>
            <w:tcW w:w="2522" w:type="dxa"/>
            <w:gridSpan w:val="2"/>
            <w:vAlign w:val="center"/>
          </w:tcPr>
          <w:p w14:paraId="316FF6EA">
            <w:pPr>
              <w:autoSpaceDE w:val="0"/>
              <w:autoSpaceDN w:val="0"/>
              <w:adjustRightInd w:val="0"/>
              <w:spacing w:line="600" w:lineRule="exact"/>
              <w:rPr>
                <w:rFonts w:ascii="宋体" w:hAnsi="宋体" w:eastAsia="宋体" w:cs="宋体"/>
                <w:color w:val="000000" w:themeColor="text1"/>
                <w:szCs w:val="24"/>
                <w:highlight w:val="none"/>
                <w14:textFill>
                  <w14:solidFill>
                    <w14:schemeClr w14:val="tx1"/>
                  </w14:solidFill>
                </w14:textFill>
              </w:rPr>
            </w:pPr>
          </w:p>
        </w:tc>
      </w:tr>
      <w:tr w14:paraId="37D1E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586" w:type="dxa"/>
            <w:vAlign w:val="center"/>
          </w:tcPr>
          <w:p w14:paraId="3C92156E">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注册资金</w:t>
            </w:r>
          </w:p>
        </w:tc>
        <w:tc>
          <w:tcPr>
            <w:tcW w:w="7333" w:type="dxa"/>
            <w:gridSpan w:val="6"/>
            <w:vAlign w:val="center"/>
          </w:tcPr>
          <w:p w14:paraId="29F2A7EA">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3F78A6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586" w:type="dxa"/>
            <w:vAlign w:val="center"/>
          </w:tcPr>
          <w:p w14:paraId="4E3CF276">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开户银行</w:t>
            </w:r>
          </w:p>
        </w:tc>
        <w:tc>
          <w:tcPr>
            <w:tcW w:w="7333" w:type="dxa"/>
            <w:gridSpan w:val="6"/>
            <w:vAlign w:val="center"/>
          </w:tcPr>
          <w:p w14:paraId="5E45C3C0">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7E1E62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586" w:type="dxa"/>
            <w:vAlign w:val="center"/>
          </w:tcPr>
          <w:p w14:paraId="1D0C261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账号</w:t>
            </w:r>
          </w:p>
        </w:tc>
        <w:tc>
          <w:tcPr>
            <w:tcW w:w="7333" w:type="dxa"/>
            <w:gridSpan w:val="6"/>
            <w:vAlign w:val="center"/>
          </w:tcPr>
          <w:p w14:paraId="417D9EBC">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10AFD5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24" w:hRule="atLeast"/>
          <w:jc w:val="center"/>
        </w:trPr>
        <w:tc>
          <w:tcPr>
            <w:tcW w:w="1586" w:type="dxa"/>
            <w:vAlign w:val="center"/>
          </w:tcPr>
          <w:p w14:paraId="62B4C47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经营范围</w:t>
            </w:r>
          </w:p>
        </w:tc>
        <w:tc>
          <w:tcPr>
            <w:tcW w:w="7333" w:type="dxa"/>
            <w:gridSpan w:val="6"/>
            <w:vAlign w:val="center"/>
          </w:tcPr>
          <w:p w14:paraId="1A232B9C">
            <w:pPr>
              <w:autoSpaceDE w:val="0"/>
              <w:autoSpaceDN w:val="0"/>
              <w:adjustRightInd w:val="0"/>
              <w:spacing w:line="600" w:lineRule="exact"/>
              <w:rPr>
                <w:rFonts w:ascii="宋体" w:hAnsi="宋体" w:eastAsia="宋体" w:cs="宋体"/>
                <w:b/>
                <w:bCs/>
                <w:color w:val="000000" w:themeColor="text1"/>
                <w:szCs w:val="24"/>
                <w:highlight w:val="none"/>
                <w14:textFill>
                  <w14:solidFill>
                    <w14:schemeClr w14:val="tx1"/>
                  </w14:solidFill>
                </w14:textFill>
              </w:rPr>
            </w:pPr>
          </w:p>
        </w:tc>
      </w:tr>
      <w:tr w14:paraId="595EC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1586" w:type="dxa"/>
            <w:vAlign w:val="center"/>
          </w:tcPr>
          <w:p w14:paraId="2955AB6C">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备注</w:t>
            </w:r>
          </w:p>
        </w:tc>
        <w:tc>
          <w:tcPr>
            <w:tcW w:w="7333" w:type="dxa"/>
            <w:gridSpan w:val="6"/>
          </w:tcPr>
          <w:p w14:paraId="04A90301">
            <w:pPr>
              <w:autoSpaceDE w:val="0"/>
              <w:autoSpaceDN w:val="0"/>
              <w:adjustRightInd w:val="0"/>
              <w:spacing w:line="600" w:lineRule="exact"/>
              <w:jc w:val="left"/>
              <w:rPr>
                <w:rFonts w:ascii="宋体" w:hAnsi="宋体" w:eastAsia="宋体" w:cs="宋体"/>
                <w:color w:val="000000" w:themeColor="text1"/>
                <w:szCs w:val="24"/>
                <w:highlight w:val="none"/>
                <w14:textFill>
                  <w14:solidFill>
                    <w14:schemeClr w14:val="tx1"/>
                  </w14:solidFill>
                </w14:textFill>
              </w:rPr>
            </w:pPr>
          </w:p>
        </w:tc>
      </w:tr>
    </w:tbl>
    <w:p w14:paraId="246FEB93">
      <w:pP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br w:type="page"/>
      </w:r>
    </w:p>
    <w:p w14:paraId="00957155">
      <w:pPr>
        <w:pStyle w:val="22"/>
        <w:rPr>
          <w:highlight w:val="none"/>
        </w:rPr>
      </w:pPr>
    </w:p>
    <w:p w14:paraId="4F2DB77A">
      <w:pPr>
        <w:pStyle w:val="57"/>
        <w:spacing w:line="480" w:lineRule="auto"/>
        <w:ind w:firstLine="241" w:firstLineChars="100"/>
        <w:rPr>
          <w:rFonts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2、投标方案</w:t>
      </w:r>
    </w:p>
    <w:p w14:paraId="7C1ABE71">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包括但不限于以下内容：</w:t>
      </w:r>
    </w:p>
    <w:p w14:paraId="46258876">
      <w:pPr>
        <w:pStyle w:val="57"/>
        <w:spacing w:line="480" w:lineRule="auto"/>
        <w:ind w:firstLine="240" w:firstLineChars="1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2.1生活照料和护理类服务方案</w:t>
      </w:r>
    </w:p>
    <w:p w14:paraId="40BBF273">
      <w:pPr>
        <w:pStyle w:val="57"/>
        <w:spacing w:line="480" w:lineRule="auto"/>
        <w:ind w:firstLine="240" w:firstLineChars="1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2安全保证措施</w:t>
      </w:r>
    </w:p>
    <w:p w14:paraId="5A1E0E2B">
      <w:pPr>
        <w:pStyle w:val="57"/>
        <w:spacing w:line="480" w:lineRule="auto"/>
        <w:ind w:firstLine="240" w:firstLineChars="1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3服务质量保证措施</w:t>
      </w:r>
    </w:p>
    <w:p w14:paraId="167DA2BF">
      <w:pPr>
        <w:pStyle w:val="57"/>
        <w:spacing w:line="480" w:lineRule="auto"/>
        <w:ind w:firstLine="240" w:firstLineChars="1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4应急处理预案</w:t>
      </w:r>
    </w:p>
    <w:p w14:paraId="65A4D2CB">
      <w:pPr>
        <w:pStyle w:val="57"/>
        <w:spacing w:line="480" w:lineRule="auto"/>
        <w:ind w:firstLine="240" w:firstLineChars="100"/>
        <w:rPr>
          <w:rFonts w:hint="default"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5管理及考核办法</w:t>
      </w:r>
    </w:p>
    <w:p w14:paraId="0F103195">
      <w:pPr>
        <w:pStyle w:val="57"/>
        <w:spacing w:line="480" w:lineRule="auto"/>
        <w:ind w:firstLine="240" w:firstLineChars="100"/>
        <w:rPr>
          <w:rFonts w:hint="default"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6项目团队人员配备方案</w:t>
      </w:r>
    </w:p>
    <w:p w14:paraId="31C73815">
      <w:pPr>
        <w:pStyle w:val="57"/>
        <w:spacing w:line="480" w:lineRule="auto"/>
        <w:ind w:firstLine="240" w:firstLineChars="10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59EDEE3B">
      <w:pPr>
        <w:pStyle w:val="57"/>
        <w:spacing w:line="360" w:lineRule="auto"/>
        <w:ind w:firstLine="174" w:firstLineChars="62"/>
        <w:rPr>
          <w:rFonts w:ascii="宋体" w:hAnsi="宋体" w:eastAsia="宋体" w:cs="宋体"/>
          <w:b/>
          <w:bCs/>
          <w:color w:val="000000" w:themeColor="text1"/>
          <w:szCs w:val="28"/>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br w:type="page"/>
      </w:r>
    </w:p>
    <w:p w14:paraId="35FA25E3">
      <w:pPr>
        <w:numPr>
          <w:ilvl w:val="0"/>
          <w:numId w:val="7"/>
        </w:numPr>
        <w:rPr>
          <w:rFonts w:ascii="宋体" w:hAnsi="宋体" w:eastAsia="宋体" w:cs="宋体"/>
          <w:b/>
          <w:bCs/>
          <w:color w:val="000000" w:themeColor="text1"/>
          <w:szCs w:val="28"/>
          <w:highlight w:val="none"/>
          <w14:textFill>
            <w14:solidFill>
              <w14:schemeClr w14:val="tx1"/>
            </w14:solidFill>
          </w14:textFill>
        </w:rPr>
      </w:pPr>
      <w:bookmarkStart w:id="127" w:name="_Toc31350"/>
      <w:bookmarkStart w:id="128" w:name="_Toc458617499"/>
      <w:bookmarkStart w:id="129" w:name="_Toc6831"/>
      <w:r>
        <w:rPr>
          <w:rFonts w:hint="eastAsia" w:ascii="宋体" w:hAnsi="宋体" w:eastAsia="宋体" w:cs="宋体"/>
          <w:b/>
          <w:bCs/>
          <w:color w:val="000000" w:themeColor="text1"/>
          <w:szCs w:val="28"/>
          <w:highlight w:val="none"/>
          <w14:textFill>
            <w14:solidFill>
              <w14:schemeClr w14:val="tx1"/>
            </w14:solidFill>
          </w14:textFill>
        </w:rPr>
        <w:t>类似项目业绩</w:t>
      </w:r>
    </w:p>
    <w:p w14:paraId="5D0BC0AD">
      <w:pPr>
        <w:rPr>
          <w:rFonts w:ascii="宋体" w:hAnsi="宋体" w:eastAsia="宋体" w:cs="宋体"/>
          <w:b/>
          <w:bCs/>
          <w:color w:val="000000" w:themeColor="text1"/>
          <w:szCs w:val="28"/>
          <w:highlight w:val="none"/>
          <w14:textFill>
            <w14:solidFill>
              <w14:schemeClr w14:val="tx1"/>
            </w14:solidFill>
          </w14:textFill>
        </w:rPr>
      </w:pPr>
    </w:p>
    <w:p w14:paraId="025B4120">
      <w:pPr>
        <w:rPr>
          <w:rFonts w:ascii="宋体" w:hAnsi="宋体" w:eastAsia="宋体" w:cs="宋体"/>
          <w:b/>
          <w:bCs/>
          <w:color w:val="000000" w:themeColor="text1"/>
          <w:szCs w:val="28"/>
          <w:highlight w:val="none"/>
          <w14:textFill>
            <w14:solidFill>
              <w14:schemeClr w14:val="tx1"/>
            </w14:solidFill>
          </w14:textFill>
        </w:rPr>
      </w:pPr>
    </w:p>
    <w:p w14:paraId="2A068C85">
      <w:pPr>
        <w:rPr>
          <w:rFonts w:ascii="宋体" w:hAnsi="宋体" w:eastAsia="宋体" w:cs="宋体"/>
          <w:b/>
          <w:bCs/>
          <w:color w:val="000000" w:themeColor="text1"/>
          <w:szCs w:val="28"/>
          <w:highlight w:val="none"/>
          <w14:textFill>
            <w14:solidFill>
              <w14:schemeClr w14:val="tx1"/>
            </w14:solidFill>
          </w14:textFill>
        </w:rPr>
      </w:pPr>
    </w:p>
    <w:p w14:paraId="6F0BF4BE">
      <w:pPr>
        <w:pStyle w:val="13"/>
        <w:rPr>
          <w:rFonts w:ascii="宋体" w:hAnsi="宋体" w:eastAsia="宋体" w:cs="宋体"/>
          <w:highlight w:val="none"/>
        </w:rPr>
      </w:pPr>
      <w:r>
        <w:rPr>
          <w:rFonts w:hint="eastAsia" w:ascii="宋体" w:hAnsi="宋体" w:eastAsia="宋体" w:cs="宋体"/>
          <w:b/>
          <w:bCs/>
          <w:color w:val="000000" w:themeColor="text1"/>
          <w:szCs w:val="28"/>
          <w:highlight w:val="none"/>
          <w14:textFill>
            <w14:solidFill>
              <w14:schemeClr w14:val="tx1"/>
            </w14:solidFill>
          </w14:textFill>
        </w:rPr>
        <w:br w:type="page"/>
      </w:r>
    </w:p>
    <w:bookmarkEnd w:id="121"/>
    <w:bookmarkEnd w:id="122"/>
    <w:bookmarkEnd w:id="123"/>
    <w:bookmarkEnd w:id="124"/>
    <w:bookmarkEnd w:id="125"/>
    <w:bookmarkEnd w:id="126"/>
    <w:bookmarkEnd w:id="127"/>
    <w:bookmarkEnd w:id="128"/>
    <w:bookmarkEnd w:id="129"/>
    <w:p w14:paraId="6BC4517D">
      <w:pPr>
        <w:spacing w:line="360" w:lineRule="auto"/>
        <w:rPr>
          <w:rFonts w:ascii="宋体" w:hAnsi="宋体" w:eastAsia="宋体" w:cs="宋体"/>
          <w:b/>
          <w:color w:val="000000" w:themeColor="text1"/>
          <w:kern w:val="0"/>
          <w:sz w:val="28"/>
          <w:highlight w:val="none"/>
          <w14:textFill>
            <w14:solidFill>
              <w14:schemeClr w14:val="tx1"/>
            </w14:solidFill>
          </w14:textFill>
        </w:rPr>
      </w:pPr>
      <w:bookmarkStart w:id="130" w:name="_Toc458617748"/>
      <w:r>
        <w:rPr>
          <w:rFonts w:hint="eastAsia" w:ascii="宋体" w:hAnsi="宋体" w:eastAsia="宋体" w:cs="宋体"/>
          <w:b/>
          <w:bCs/>
          <w:color w:val="000000" w:themeColor="text1"/>
          <w:szCs w:val="28"/>
          <w:highlight w:val="none"/>
          <w14:textFill>
            <w14:solidFill>
              <w14:schemeClr w14:val="tx1"/>
            </w14:solidFill>
          </w14:textFill>
        </w:rPr>
        <w:t>附件一：</w:t>
      </w:r>
      <w:bookmarkEnd w:id="130"/>
      <w:r>
        <w:rPr>
          <w:rFonts w:hint="eastAsia" w:ascii="宋体" w:hAnsi="宋体" w:eastAsia="宋体" w:cs="宋体"/>
          <w:b/>
          <w:color w:val="000000" w:themeColor="text1"/>
          <w:kern w:val="0"/>
          <w:sz w:val="28"/>
          <w:highlight w:val="none"/>
          <w14:textFill>
            <w14:solidFill>
              <w14:schemeClr w14:val="tx1"/>
            </w14:solidFill>
          </w14:textFill>
        </w:rPr>
        <w:t>中小企业声明函</w:t>
      </w:r>
    </w:p>
    <w:p w14:paraId="450A1E63">
      <w:pPr>
        <w:pStyle w:val="22"/>
        <w:jc w:val="center"/>
        <w:rPr>
          <w:highlight w:val="none"/>
        </w:rPr>
      </w:pPr>
      <w:r>
        <w:rPr>
          <w:rFonts w:hint="eastAsia" w:ascii="宋体" w:hAnsi="宋体" w:cs="宋体"/>
          <w:b/>
          <w:color w:val="000000" w:themeColor="text1"/>
          <w:kern w:val="0"/>
          <w:sz w:val="28"/>
          <w:highlight w:val="none"/>
          <w14:textFill>
            <w14:solidFill>
              <w14:schemeClr w14:val="tx1"/>
            </w14:solidFill>
          </w14:textFill>
        </w:rPr>
        <w:t>中小企业声明函</w:t>
      </w:r>
    </w:p>
    <w:p w14:paraId="5C733245">
      <w:pPr>
        <w:widowControl/>
        <w:shd w:val="clear" w:color="auto" w:fill="FFFFFF"/>
        <w:spacing w:line="500" w:lineRule="exact"/>
        <w:ind w:firstLine="482"/>
        <w:jc w:val="left"/>
        <w:rPr>
          <w:rFonts w:ascii="宋体" w:hAnsi="宋体" w:eastAsia="宋体" w:cs="宋体"/>
          <w:color w:val="333333"/>
          <w:szCs w:val="24"/>
          <w:highlight w:val="none"/>
        </w:rPr>
      </w:pPr>
      <w:r>
        <w:rPr>
          <w:rFonts w:hint="eastAsia" w:ascii="宋体" w:hAnsi="宋体" w:eastAsia="宋体" w:cs="宋体"/>
          <w:color w:val="333333"/>
          <w:kern w:val="0"/>
          <w:szCs w:val="24"/>
          <w:highlight w:val="none"/>
          <w:shd w:val="clear" w:color="auto" w:fill="FFFFFF"/>
          <w:lang w:bidi="ar"/>
        </w:rPr>
        <w:t>本公司（联合体）郑重声明，根据《政府采购促进中小企业发展管理办法》（财库﹝2020﹞46号）的规定，本公司（联合体）参加</w:t>
      </w:r>
      <w:r>
        <w:rPr>
          <w:rFonts w:hint="eastAsia" w:ascii="宋体" w:hAnsi="宋体" w:eastAsia="宋体" w:cs="宋体"/>
          <w:color w:val="333333"/>
          <w:kern w:val="0"/>
          <w:szCs w:val="24"/>
          <w:highlight w:val="none"/>
          <w:u w:val="single"/>
          <w:shd w:val="clear" w:color="auto" w:fill="FFFFFF"/>
          <w:lang w:bidi="ar"/>
        </w:rPr>
        <w:t>    （单位名称）</w:t>
      </w:r>
      <w:r>
        <w:rPr>
          <w:rFonts w:hint="eastAsia" w:ascii="宋体" w:hAnsi="宋体" w:eastAsia="宋体" w:cs="宋体"/>
          <w:color w:val="333333"/>
          <w:kern w:val="0"/>
          <w:szCs w:val="24"/>
          <w:highlight w:val="none"/>
          <w:shd w:val="clear" w:color="auto" w:fill="FFFFFF"/>
          <w:lang w:bidi="ar"/>
        </w:rPr>
        <w:t>的（项目名称）采购活动，工程的施工单位全部为符合政策要求的中小企业（或者：服务全部由符合政策要求的中小企业承接）。相关企业（含联合体中的中小企业、签订分包意向协议的中小企业）的具体情况如下：</w:t>
      </w:r>
    </w:p>
    <w:p w14:paraId="5B0740F9">
      <w:pPr>
        <w:widowControl/>
        <w:shd w:val="clear" w:color="auto" w:fill="FFFFFF"/>
        <w:spacing w:line="500" w:lineRule="exact"/>
        <w:ind w:firstLine="482"/>
        <w:jc w:val="left"/>
        <w:rPr>
          <w:rFonts w:ascii="宋体" w:hAnsi="宋体" w:eastAsia="宋体" w:cs="宋体"/>
          <w:color w:val="333333"/>
          <w:szCs w:val="24"/>
          <w:highlight w:val="none"/>
        </w:rPr>
      </w:pPr>
      <w:r>
        <w:rPr>
          <w:rFonts w:hint="eastAsia" w:ascii="宋体" w:hAnsi="宋体" w:eastAsia="宋体" w:cs="宋体"/>
          <w:color w:val="333333"/>
          <w:kern w:val="0"/>
          <w:szCs w:val="24"/>
          <w:highlight w:val="none"/>
          <w:u w:val="single"/>
          <w:shd w:val="clear" w:color="auto" w:fill="FFFFFF"/>
          <w:lang w:bidi="ar"/>
        </w:rPr>
        <w:t>1.   （标的名称）</w:t>
      </w:r>
      <w:r>
        <w:rPr>
          <w:rFonts w:hint="eastAsia" w:ascii="宋体" w:hAnsi="宋体" w:eastAsia="宋体" w:cs="宋体"/>
          <w:color w:val="333333"/>
          <w:kern w:val="0"/>
          <w:szCs w:val="24"/>
          <w:highlight w:val="none"/>
          <w:shd w:val="clear" w:color="auto" w:fill="FFFFFF"/>
          <w:lang w:bidi="ar"/>
        </w:rPr>
        <w:t>，属于</w:t>
      </w:r>
      <w:r>
        <w:rPr>
          <w:rFonts w:hint="eastAsia" w:ascii="宋体" w:hAnsi="宋体" w:eastAsia="宋体" w:cs="宋体"/>
          <w:color w:val="333333"/>
          <w:kern w:val="0"/>
          <w:szCs w:val="24"/>
          <w:highlight w:val="none"/>
          <w:u w:val="single"/>
          <w:shd w:val="clear" w:color="auto" w:fill="FFFFFF"/>
          <w:lang w:bidi="ar"/>
        </w:rPr>
        <w:t>    （采购文件中明确的所属行业）</w:t>
      </w:r>
      <w:r>
        <w:rPr>
          <w:rFonts w:hint="eastAsia" w:ascii="宋体" w:hAnsi="宋体" w:eastAsia="宋体" w:cs="宋体"/>
          <w:color w:val="333333"/>
          <w:kern w:val="0"/>
          <w:szCs w:val="24"/>
          <w:highlight w:val="none"/>
          <w:shd w:val="clear" w:color="auto" w:fill="FFFFFF"/>
          <w:lang w:bidi="ar"/>
        </w:rPr>
        <w:t>；承建（承接）企业为</w:t>
      </w:r>
      <w:r>
        <w:rPr>
          <w:rFonts w:hint="eastAsia" w:ascii="宋体" w:hAnsi="宋体" w:eastAsia="宋体" w:cs="宋体"/>
          <w:color w:val="333333"/>
          <w:kern w:val="0"/>
          <w:szCs w:val="24"/>
          <w:highlight w:val="none"/>
          <w:u w:val="single"/>
          <w:shd w:val="clear" w:color="auto" w:fill="FFFFFF"/>
          <w:lang w:bidi="ar"/>
        </w:rPr>
        <w:t>    （企业名称）</w:t>
      </w:r>
      <w:r>
        <w:rPr>
          <w:rFonts w:hint="eastAsia" w:ascii="宋体" w:hAnsi="宋体" w:eastAsia="宋体" w:cs="宋体"/>
          <w:color w:val="333333"/>
          <w:kern w:val="0"/>
          <w:szCs w:val="24"/>
          <w:highlight w:val="none"/>
          <w:shd w:val="clear" w:color="auto" w:fill="FFFFFF"/>
          <w:lang w:bidi="ar"/>
        </w:rPr>
        <w:t>，从业人员</w:t>
      </w:r>
      <w:r>
        <w:rPr>
          <w:rFonts w:hint="eastAsia" w:ascii="宋体" w:hAnsi="宋体" w:eastAsia="宋体" w:cs="宋体"/>
          <w:color w:val="333333"/>
          <w:kern w:val="0"/>
          <w:szCs w:val="24"/>
          <w:highlight w:val="none"/>
          <w:u w:val="single"/>
          <w:shd w:val="clear" w:color="auto" w:fill="FFFFFF"/>
          <w:lang w:bidi="ar"/>
        </w:rPr>
        <w:t>    </w:t>
      </w:r>
      <w:r>
        <w:rPr>
          <w:rFonts w:hint="eastAsia" w:ascii="宋体" w:hAnsi="宋体" w:eastAsia="宋体" w:cs="宋体"/>
          <w:color w:val="333333"/>
          <w:kern w:val="0"/>
          <w:szCs w:val="24"/>
          <w:highlight w:val="none"/>
          <w:shd w:val="clear" w:color="auto" w:fill="FFFFFF"/>
          <w:lang w:bidi="ar"/>
        </w:rPr>
        <w:t>人，营业收入为</w:t>
      </w:r>
      <w:r>
        <w:rPr>
          <w:rFonts w:hint="eastAsia" w:ascii="宋体" w:hAnsi="宋体" w:eastAsia="宋体" w:cs="宋体"/>
          <w:color w:val="333333"/>
          <w:kern w:val="0"/>
          <w:szCs w:val="24"/>
          <w:highlight w:val="none"/>
          <w:u w:val="single"/>
          <w:shd w:val="clear" w:color="auto" w:fill="FFFFFF"/>
          <w:lang w:bidi="ar"/>
        </w:rPr>
        <w:t>    </w:t>
      </w:r>
      <w:r>
        <w:rPr>
          <w:rFonts w:hint="eastAsia" w:ascii="宋体" w:hAnsi="宋体" w:eastAsia="宋体" w:cs="宋体"/>
          <w:color w:val="333333"/>
          <w:kern w:val="0"/>
          <w:szCs w:val="24"/>
          <w:highlight w:val="none"/>
          <w:shd w:val="clear" w:color="auto" w:fill="FFFFFF"/>
          <w:lang w:bidi="ar"/>
        </w:rPr>
        <w:t>万元，资产总额为</w:t>
      </w:r>
      <w:r>
        <w:rPr>
          <w:rFonts w:hint="eastAsia" w:ascii="宋体" w:hAnsi="宋体" w:eastAsia="宋体" w:cs="宋体"/>
          <w:color w:val="333333"/>
          <w:kern w:val="0"/>
          <w:szCs w:val="24"/>
          <w:highlight w:val="none"/>
          <w:u w:val="single"/>
          <w:shd w:val="clear" w:color="auto" w:fill="FFFFFF"/>
          <w:lang w:bidi="ar"/>
        </w:rPr>
        <w:t>    </w:t>
      </w:r>
      <w:r>
        <w:rPr>
          <w:rFonts w:hint="eastAsia" w:ascii="宋体" w:hAnsi="宋体" w:eastAsia="宋体" w:cs="宋体"/>
          <w:color w:val="333333"/>
          <w:kern w:val="0"/>
          <w:szCs w:val="24"/>
          <w:highlight w:val="none"/>
          <w:shd w:val="clear" w:color="auto" w:fill="FFFFFF"/>
          <w:lang w:bidi="ar"/>
        </w:rPr>
        <w:t>万元，属于</w:t>
      </w:r>
      <w:r>
        <w:rPr>
          <w:rFonts w:hint="eastAsia" w:ascii="宋体" w:hAnsi="宋体" w:eastAsia="宋体" w:cs="宋体"/>
          <w:color w:val="333333"/>
          <w:kern w:val="0"/>
          <w:szCs w:val="24"/>
          <w:highlight w:val="none"/>
          <w:u w:val="single"/>
          <w:shd w:val="clear" w:color="auto" w:fill="FFFFFF"/>
          <w:lang w:bidi="ar"/>
        </w:rPr>
        <w:t>     （中型企业、小型企业、微型企业）</w:t>
      </w:r>
      <w:r>
        <w:rPr>
          <w:rFonts w:hint="eastAsia" w:ascii="宋体" w:hAnsi="宋体" w:eastAsia="宋体" w:cs="宋体"/>
          <w:color w:val="333333"/>
          <w:kern w:val="0"/>
          <w:szCs w:val="24"/>
          <w:highlight w:val="none"/>
          <w:shd w:val="clear" w:color="auto" w:fill="FFFFFF"/>
          <w:lang w:bidi="ar"/>
        </w:rPr>
        <w:t>；</w:t>
      </w:r>
    </w:p>
    <w:p w14:paraId="79321B76">
      <w:pPr>
        <w:widowControl/>
        <w:shd w:val="clear" w:color="auto" w:fill="FFFFFF"/>
        <w:spacing w:line="500" w:lineRule="exact"/>
        <w:ind w:firstLine="482"/>
        <w:jc w:val="left"/>
        <w:rPr>
          <w:rFonts w:ascii="宋体" w:hAnsi="宋体" w:eastAsia="宋体" w:cs="宋体"/>
          <w:color w:val="333333"/>
          <w:szCs w:val="24"/>
          <w:highlight w:val="none"/>
        </w:rPr>
      </w:pPr>
      <w:r>
        <w:rPr>
          <w:rFonts w:hint="eastAsia" w:ascii="宋体" w:hAnsi="宋体" w:eastAsia="宋体" w:cs="宋体"/>
          <w:color w:val="333333"/>
          <w:kern w:val="0"/>
          <w:szCs w:val="24"/>
          <w:highlight w:val="none"/>
          <w:shd w:val="clear" w:color="auto" w:fill="FFFFFF"/>
          <w:lang w:bidi="ar"/>
        </w:rPr>
        <w:t>……</w:t>
      </w:r>
    </w:p>
    <w:p w14:paraId="2611EA24">
      <w:pPr>
        <w:widowControl/>
        <w:shd w:val="clear" w:color="auto" w:fill="FFFFFF"/>
        <w:spacing w:line="500" w:lineRule="exact"/>
        <w:ind w:firstLine="482"/>
        <w:jc w:val="left"/>
        <w:rPr>
          <w:rFonts w:ascii="宋体" w:hAnsi="宋体" w:eastAsia="宋体" w:cs="宋体"/>
          <w:color w:val="333333"/>
          <w:szCs w:val="24"/>
          <w:highlight w:val="none"/>
        </w:rPr>
      </w:pPr>
      <w:r>
        <w:rPr>
          <w:rFonts w:hint="eastAsia" w:ascii="宋体" w:hAnsi="宋体" w:eastAsia="宋体" w:cs="宋体"/>
          <w:color w:val="333333"/>
          <w:kern w:val="0"/>
          <w:szCs w:val="24"/>
          <w:highlight w:val="none"/>
          <w:shd w:val="clear" w:color="auto" w:fill="FFFFFF"/>
          <w:lang w:bidi="ar"/>
        </w:rPr>
        <w:t>以上企业，不属于大企业的分支机构，不存在控股股东为大企业的情形，也不存在与大企业的负责人为同一人的情形。</w:t>
      </w:r>
    </w:p>
    <w:p w14:paraId="4D2CDA34">
      <w:pPr>
        <w:widowControl/>
        <w:shd w:val="clear" w:color="auto" w:fill="FFFFFF"/>
        <w:spacing w:line="500" w:lineRule="exact"/>
        <w:ind w:firstLine="482"/>
        <w:jc w:val="left"/>
        <w:rPr>
          <w:rFonts w:ascii="宋体" w:hAnsi="宋体" w:eastAsia="宋体" w:cs="宋体"/>
          <w:color w:val="333333"/>
          <w:szCs w:val="24"/>
          <w:highlight w:val="none"/>
        </w:rPr>
      </w:pPr>
      <w:r>
        <w:rPr>
          <w:rFonts w:hint="eastAsia" w:ascii="宋体" w:hAnsi="宋体" w:eastAsia="宋体" w:cs="宋体"/>
          <w:color w:val="333333"/>
          <w:kern w:val="0"/>
          <w:szCs w:val="24"/>
          <w:highlight w:val="none"/>
          <w:shd w:val="clear" w:color="auto" w:fill="FFFFFF"/>
          <w:lang w:bidi="ar"/>
        </w:rPr>
        <w:t>本企业对上述声明内容的真实性负责。如有虚假，将依法承担相应责任。</w:t>
      </w:r>
    </w:p>
    <w:p w14:paraId="53E09081">
      <w:pPr>
        <w:pStyle w:val="10"/>
        <w:spacing w:line="500" w:lineRule="exact"/>
        <w:ind w:firstLine="3078" w:firstLineChars="1175"/>
        <w:rPr>
          <w:rFonts w:ascii="宋体" w:hAnsi="宋体" w:cs="宋体"/>
          <w:spacing w:val="11"/>
          <w:kern w:val="0"/>
          <w:sz w:val="24"/>
          <w:szCs w:val="24"/>
          <w:highlight w:val="none"/>
          <w:u w:val="single"/>
        </w:rPr>
      </w:pPr>
      <w:r>
        <w:rPr>
          <w:rFonts w:hint="eastAsia" w:ascii="宋体" w:hAnsi="宋体" w:cs="宋体"/>
          <w:spacing w:val="11"/>
          <w:kern w:val="0"/>
          <w:sz w:val="24"/>
          <w:szCs w:val="24"/>
          <w:highlight w:val="none"/>
        </w:rPr>
        <w:t>企业名称：</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（公章）</w:t>
      </w:r>
    </w:p>
    <w:p w14:paraId="5BE98126">
      <w:pPr>
        <w:pStyle w:val="10"/>
        <w:spacing w:line="500" w:lineRule="exact"/>
        <w:ind w:firstLine="3078" w:firstLineChars="1175"/>
        <w:rPr>
          <w:rFonts w:ascii="宋体" w:hAnsi="宋体" w:cs="宋体"/>
          <w:spacing w:val="11"/>
          <w:kern w:val="0"/>
          <w:sz w:val="24"/>
          <w:szCs w:val="24"/>
          <w:highlight w:val="none"/>
        </w:rPr>
      </w:pPr>
      <w:r>
        <w:rPr>
          <w:rFonts w:hint="eastAsia" w:ascii="宋体" w:hAnsi="宋体" w:cs="宋体"/>
          <w:spacing w:val="11"/>
          <w:kern w:val="0"/>
          <w:sz w:val="24"/>
          <w:szCs w:val="24"/>
          <w:highlight w:val="none"/>
        </w:rPr>
        <w:t>日    期：</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年</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月</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日</w:t>
      </w:r>
    </w:p>
    <w:p w14:paraId="3DD33C1C">
      <w:pPr>
        <w:pStyle w:val="13"/>
        <w:rPr>
          <w:rFonts w:ascii="宋体" w:hAnsi="宋体" w:eastAsia="宋体" w:cs="宋体"/>
          <w:color w:val="000000" w:themeColor="text1"/>
          <w:kern w:val="0"/>
          <w:highlight w:val="none"/>
          <w:u w:val="single"/>
          <w14:textFill>
            <w14:solidFill>
              <w14:schemeClr w14:val="tx1"/>
            </w14:solidFill>
          </w14:textFill>
        </w:rPr>
      </w:pPr>
    </w:p>
    <w:p w14:paraId="4BB0978F">
      <w:pPr>
        <w:pStyle w:val="10"/>
        <w:spacing w:line="500" w:lineRule="exact"/>
        <w:ind w:firstLine="0"/>
        <w:rPr>
          <w:rFonts w:ascii="宋体" w:hAnsi="宋体" w:cs="宋体"/>
          <w:spacing w:val="11"/>
          <w:kern w:val="0"/>
          <w:sz w:val="24"/>
          <w:szCs w:val="24"/>
          <w:highlight w:val="none"/>
        </w:rPr>
      </w:pPr>
      <w:r>
        <w:rPr>
          <w:rFonts w:hint="eastAsia" w:ascii="宋体" w:hAnsi="宋体" w:cs="宋体"/>
          <w:spacing w:val="11"/>
          <w:kern w:val="0"/>
          <w:sz w:val="24"/>
          <w:szCs w:val="24"/>
          <w:highlight w:val="none"/>
        </w:rPr>
        <w:t>备注：1、中小企业参加政府采购活动，应当按照《政府采购促进中小企业发展管理办法》（财库〔2020〕46号）规定和《中小企业划型标准规定》（工信部联企业〔2011〕300号），如实填写并提交本《中小企业声明函》。</w:t>
      </w:r>
    </w:p>
    <w:p w14:paraId="5600706C">
      <w:pPr>
        <w:pStyle w:val="10"/>
        <w:numPr>
          <w:ilvl w:val="0"/>
          <w:numId w:val="8"/>
        </w:numPr>
        <w:spacing w:line="500" w:lineRule="exact"/>
        <w:ind w:firstLine="524"/>
        <w:rPr>
          <w:rFonts w:ascii="宋体" w:hAnsi="宋体" w:cs="宋体"/>
          <w:spacing w:val="6"/>
          <w:sz w:val="24"/>
          <w:highlight w:val="none"/>
        </w:rPr>
      </w:pPr>
      <w:r>
        <w:rPr>
          <w:rFonts w:hint="eastAsia" w:ascii="宋体" w:hAnsi="宋体" w:cs="宋体"/>
          <w:spacing w:val="11"/>
          <w:kern w:val="0"/>
          <w:sz w:val="24"/>
          <w:szCs w:val="24"/>
          <w:highlight w:val="none"/>
        </w:rPr>
        <w:t>从业人员、营业收入、资产总额填报上一年度数据，无上一年度数据的新成立企业可不填报。</w:t>
      </w:r>
    </w:p>
    <w:p w14:paraId="1AE702FB">
      <w:pPr>
        <w:rPr>
          <w:rFonts w:ascii="宋体" w:hAnsi="宋体" w:eastAsia="宋体" w:cs="宋体"/>
          <w:spacing w:val="6"/>
          <w:highlight w:val="none"/>
        </w:rPr>
      </w:pPr>
      <w:r>
        <w:rPr>
          <w:rFonts w:hint="eastAsia" w:ascii="宋体" w:hAnsi="宋体" w:eastAsia="宋体" w:cs="宋体"/>
          <w:spacing w:val="11"/>
          <w:kern w:val="0"/>
          <w:szCs w:val="24"/>
          <w:highlight w:val="none"/>
        </w:rPr>
        <w:br w:type="page"/>
      </w:r>
    </w:p>
    <w:p w14:paraId="40C279FB">
      <w:pPr>
        <w:pStyle w:val="10"/>
        <w:numPr>
          <w:ilvl w:val="0"/>
          <w:numId w:val="8"/>
        </w:numPr>
        <w:spacing w:line="500" w:lineRule="exact"/>
        <w:ind w:firstLine="524"/>
        <w:rPr>
          <w:rFonts w:ascii="宋体" w:hAnsi="宋体" w:cs="宋体"/>
          <w:spacing w:val="6"/>
          <w:sz w:val="24"/>
          <w:highlight w:val="none"/>
        </w:rPr>
        <w:sectPr>
          <w:headerReference r:id="rId6" w:type="default"/>
          <w:footerReference r:id="rId7" w:type="default"/>
          <w:pgSz w:w="11910" w:h="16840"/>
          <w:pgMar w:top="1500" w:right="970" w:bottom="1780" w:left="1580" w:header="0" w:footer="1595" w:gutter="0"/>
          <w:pgNumType w:fmt="decimal"/>
          <w:cols w:space="720" w:num="1"/>
        </w:sectPr>
      </w:pPr>
    </w:p>
    <w:p w14:paraId="4CCE54FF">
      <w:pPr>
        <w:tabs>
          <w:tab w:val="left" w:pos="2340"/>
        </w:tabs>
        <w:rPr>
          <w:rFonts w:ascii="宋体" w:hAnsi="宋体" w:eastAsia="宋体" w:cs="宋体"/>
          <w:b/>
          <w:color w:val="000000" w:themeColor="text1"/>
          <w:spacing w:val="6"/>
          <w:szCs w:val="24"/>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t>附件二：《残疾人福利性单位声明函》</w:t>
      </w:r>
      <w:bookmarkStart w:id="131" w:name="OLE_LINK14"/>
    </w:p>
    <w:p w14:paraId="7DE9BB06">
      <w:pPr>
        <w:spacing w:line="360" w:lineRule="auto"/>
        <w:jc w:val="center"/>
        <w:rPr>
          <w:rFonts w:ascii="宋体" w:hAnsi="宋体" w:eastAsia="宋体" w:cs="宋体"/>
          <w:b/>
          <w:color w:val="000000" w:themeColor="text1"/>
          <w:spacing w:val="6"/>
          <w:szCs w:val="24"/>
          <w:highlight w:val="none"/>
          <w14:textFill>
            <w14:solidFill>
              <w14:schemeClr w14:val="tx1"/>
            </w14:solidFill>
          </w14:textFill>
        </w:rPr>
      </w:pPr>
      <w:bookmarkStart w:id="132" w:name="_Toc8261"/>
      <w:bookmarkStart w:id="133" w:name="_Toc957"/>
    </w:p>
    <w:p w14:paraId="675C9FF5">
      <w:pPr>
        <w:spacing w:line="360" w:lineRule="auto"/>
        <w:jc w:val="center"/>
        <w:rPr>
          <w:rFonts w:ascii="宋体" w:hAnsi="宋体" w:eastAsia="宋体" w:cs="宋体"/>
          <w:b/>
          <w:bCs/>
          <w:color w:val="000000" w:themeColor="text1"/>
          <w:kern w:val="0"/>
          <w:sz w:val="28"/>
          <w:szCs w:val="28"/>
          <w:highlight w:val="none"/>
          <w14:textFill>
            <w14:solidFill>
              <w14:schemeClr w14:val="tx1"/>
            </w14:solidFill>
          </w14:textFill>
        </w:rPr>
      </w:pPr>
      <w:r>
        <w:rPr>
          <w:rFonts w:hint="eastAsia" w:ascii="宋体" w:hAnsi="宋体" w:eastAsia="宋体" w:cs="宋体"/>
          <w:b/>
          <w:bCs/>
          <w:color w:val="000000" w:themeColor="text1"/>
          <w:kern w:val="0"/>
          <w:sz w:val="28"/>
          <w:szCs w:val="28"/>
          <w:highlight w:val="none"/>
          <w14:textFill>
            <w14:solidFill>
              <w14:schemeClr w14:val="tx1"/>
            </w14:solidFill>
          </w14:textFill>
        </w:rPr>
        <w:t>残疾人福利性单位声明函</w:t>
      </w:r>
      <w:bookmarkEnd w:id="131"/>
      <w:bookmarkEnd w:id="132"/>
      <w:bookmarkEnd w:id="133"/>
      <w:r>
        <w:rPr>
          <w:rFonts w:hint="eastAsia" w:ascii="宋体" w:hAnsi="宋体" w:eastAsia="宋体" w:cs="宋体"/>
          <w:b/>
          <w:bCs/>
          <w:color w:val="000000" w:themeColor="text1"/>
          <w:kern w:val="0"/>
          <w:sz w:val="28"/>
          <w:szCs w:val="28"/>
          <w:highlight w:val="none"/>
          <w14:textFill>
            <w14:solidFill>
              <w14:schemeClr w14:val="tx1"/>
            </w14:solidFill>
          </w14:textFill>
        </w:rPr>
        <w:t>（若有）</w:t>
      </w:r>
    </w:p>
    <w:p w14:paraId="67BCA5BA">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p>
    <w:p w14:paraId="144A578F">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color w:val="000000" w:themeColor="text1"/>
          <w:spacing w:val="6"/>
          <w:szCs w:val="24"/>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Cs w:val="24"/>
          <w:highlight w:val="none"/>
          <w14:textFill>
            <w14:solidFill>
              <w14:schemeClr w14:val="tx1"/>
            </w14:solidFill>
          </w14:textFill>
        </w:rPr>
        <w:t>〔2017〕141</w:t>
      </w:r>
      <w:r>
        <w:rPr>
          <w:rFonts w:hint="eastAsia" w:ascii="宋体" w:hAnsi="宋体" w:eastAsia="宋体" w:cs="宋体"/>
          <w:color w:val="000000" w:themeColor="text1"/>
          <w:spacing w:val="6"/>
          <w:szCs w:val="24"/>
          <w:highlight w:val="none"/>
          <w14:textFill>
            <w14:solidFill>
              <w14:schemeClr w14:val="tx1"/>
            </w14:solidFill>
          </w14:textFill>
        </w:rPr>
        <w:t>号）的规定，本单位为</w:t>
      </w:r>
      <w:r>
        <w:rPr>
          <w:rFonts w:hint="eastAsia" w:ascii="宋体" w:hAnsi="宋体" w:eastAsia="宋体" w:cs="宋体"/>
          <w:color w:val="000000" w:themeColor="text1"/>
          <w:spacing w:val="6"/>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6"/>
          <w:szCs w:val="24"/>
          <w:highlight w:val="none"/>
          <w14:textFill>
            <w14:solidFill>
              <w14:schemeClr w14:val="tx1"/>
            </w14:solidFill>
          </w14:textFill>
        </w:rPr>
        <w:t>（符合/不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F61D5D6">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color w:val="000000" w:themeColor="text1"/>
          <w:spacing w:val="6"/>
          <w:szCs w:val="24"/>
          <w:highlight w:val="none"/>
          <w14:textFill>
            <w14:solidFill>
              <w14:schemeClr w14:val="tx1"/>
            </w14:solidFill>
          </w14:textFill>
        </w:rPr>
        <w:t>本单位对上述声明的真实性负责。如有虚假，将依法承担相应责任。</w:t>
      </w:r>
    </w:p>
    <w:p w14:paraId="4278313A">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p>
    <w:p w14:paraId="0B19608E">
      <w:pPr>
        <w:spacing w:line="360" w:lineRule="auto"/>
        <w:ind w:firstLine="52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spacing w:val="11"/>
          <w:kern w:val="0"/>
          <w:szCs w:val="24"/>
          <w:highlight w:val="none"/>
        </w:rPr>
        <w:t>备注</w:t>
      </w:r>
      <w:r>
        <w:rPr>
          <w:rFonts w:hint="eastAsia" w:ascii="宋体" w:hAnsi="宋体" w:eastAsia="宋体" w:cs="宋体"/>
          <w:color w:val="000000" w:themeColor="text1"/>
          <w:spacing w:val="6"/>
          <w:szCs w:val="24"/>
          <w:highlight w:val="none"/>
          <w14:textFill>
            <w14:solidFill>
              <w14:schemeClr w14:val="tx1"/>
            </w14:solidFill>
          </w14:textFill>
        </w:rPr>
        <w:t>：非残疾人企业可以不提供本声明函。</w:t>
      </w:r>
    </w:p>
    <w:p w14:paraId="3FC03C58">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1C3DDBB8">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1C366F24">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5D6C7FF2">
      <w:pPr>
        <w:pStyle w:val="10"/>
        <w:spacing w:line="500" w:lineRule="exact"/>
        <w:ind w:firstLine="3078" w:firstLineChars="1175"/>
        <w:rPr>
          <w:rFonts w:ascii="宋体" w:hAnsi="宋体" w:cs="宋体"/>
          <w:spacing w:val="11"/>
          <w:kern w:val="0"/>
          <w:sz w:val="24"/>
          <w:szCs w:val="24"/>
          <w:highlight w:val="none"/>
          <w:u w:val="single"/>
        </w:rPr>
      </w:pPr>
      <w:r>
        <w:rPr>
          <w:rFonts w:hint="eastAsia" w:ascii="宋体" w:hAnsi="宋体" w:cs="宋体"/>
          <w:spacing w:val="11"/>
          <w:kern w:val="0"/>
          <w:sz w:val="24"/>
          <w:szCs w:val="24"/>
          <w:highlight w:val="none"/>
        </w:rPr>
        <w:t>企业名称：</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（公章）</w:t>
      </w:r>
    </w:p>
    <w:p w14:paraId="250C031B">
      <w:pPr>
        <w:pStyle w:val="10"/>
        <w:spacing w:line="500" w:lineRule="exact"/>
        <w:ind w:firstLine="3078" w:firstLineChars="1175"/>
        <w:rPr>
          <w:rFonts w:ascii="宋体" w:hAnsi="宋体" w:cs="宋体"/>
          <w:spacing w:val="11"/>
          <w:kern w:val="0"/>
          <w:sz w:val="24"/>
          <w:szCs w:val="24"/>
          <w:highlight w:val="none"/>
        </w:rPr>
      </w:pPr>
      <w:r>
        <w:rPr>
          <w:rFonts w:hint="eastAsia" w:ascii="宋体" w:hAnsi="宋体" w:cs="宋体"/>
          <w:spacing w:val="11"/>
          <w:kern w:val="0"/>
          <w:sz w:val="24"/>
          <w:szCs w:val="24"/>
          <w:highlight w:val="none"/>
        </w:rPr>
        <w:t>日    期：</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年</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月</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日</w:t>
      </w:r>
    </w:p>
    <w:p w14:paraId="0A7FCCD6">
      <w:pPr>
        <w:tabs>
          <w:tab w:val="left" w:pos="4860"/>
        </w:tabs>
        <w:spacing w:line="360" w:lineRule="auto"/>
        <w:ind w:right="1560" w:firstLine="883" w:firstLineChars="200"/>
        <w:jc w:val="center"/>
        <w:rPr>
          <w:rFonts w:ascii="宋体" w:hAnsi="宋体" w:eastAsia="宋体" w:cs="宋体"/>
          <w:b/>
          <w:color w:val="000000" w:themeColor="text1"/>
          <w:sz w:val="44"/>
          <w:szCs w:val="44"/>
          <w:highlight w:val="none"/>
          <w14:textFill>
            <w14:solidFill>
              <w14:schemeClr w14:val="tx1"/>
            </w14:solidFill>
          </w14:textFill>
        </w:rPr>
      </w:pPr>
    </w:p>
    <w:p w14:paraId="2A3E3066">
      <w:pPr>
        <w:spacing w:line="360" w:lineRule="auto"/>
        <w:rPr>
          <w:rFonts w:ascii="宋体" w:hAnsi="宋体" w:eastAsia="宋体" w:cs="宋体"/>
          <w:b/>
          <w:color w:val="000000" w:themeColor="text1"/>
          <w:sz w:val="44"/>
          <w:szCs w:val="44"/>
          <w:highlight w:val="none"/>
          <w14:textFill>
            <w14:solidFill>
              <w14:schemeClr w14:val="tx1"/>
            </w14:solidFill>
          </w14:textFill>
        </w:rPr>
      </w:pPr>
    </w:p>
    <w:p w14:paraId="43E9BDB6">
      <w:pPr>
        <w:spacing w:line="360" w:lineRule="auto"/>
        <w:rPr>
          <w:rFonts w:ascii="宋体" w:hAnsi="宋体" w:eastAsia="宋体" w:cs="宋体"/>
          <w:b/>
          <w:color w:val="000000" w:themeColor="text1"/>
          <w:sz w:val="44"/>
          <w:szCs w:val="44"/>
          <w:highlight w:val="none"/>
          <w14:textFill>
            <w14:solidFill>
              <w14:schemeClr w14:val="tx1"/>
            </w14:solidFill>
          </w14:textFill>
        </w:rPr>
      </w:pPr>
    </w:p>
    <w:p w14:paraId="23FD47DE">
      <w:pPr>
        <w:rPr>
          <w:rFonts w:ascii="宋体" w:hAnsi="宋体" w:eastAsia="宋体" w:cs="宋体"/>
          <w:b/>
          <w:bCs/>
          <w:color w:val="000000" w:themeColor="text1"/>
          <w:szCs w:val="28"/>
          <w:highlight w:val="none"/>
          <w14:textFill>
            <w14:solidFill>
              <w14:schemeClr w14:val="tx1"/>
            </w14:solidFill>
          </w14:textFill>
        </w:rPr>
      </w:pPr>
      <w:bookmarkStart w:id="134" w:name="_Toc32293_WPSOffice_Level1"/>
      <w:r>
        <w:rPr>
          <w:rFonts w:hint="eastAsia" w:ascii="宋体" w:hAnsi="宋体" w:eastAsia="宋体" w:cs="宋体"/>
          <w:b/>
          <w:bCs/>
          <w:color w:val="000000" w:themeColor="text1"/>
          <w:szCs w:val="28"/>
          <w:highlight w:val="none"/>
          <w14:textFill>
            <w14:solidFill>
              <w14:schemeClr w14:val="tx1"/>
            </w14:solidFill>
          </w14:textFill>
        </w:rPr>
        <w:br w:type="page"/>
      </w:r>
    </w:p>
    <w:p w14:paraId="0ACFA728">
      <w:pPr>
        <w:spacing w:line="360" w:lineRule="auto"/>
        <w:rPr>
          <w:rFonts w:ascii="宋体" w:hAnsi="宋体" w:eastAsia="宋体" w:cs="宋体"/>
          <w:b/>
          <w:bCs/>
          <w:color w:val="000000" w:themeColor="text1"/>
          <w:szCs w:val="28"/>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t>附件三：《监狱企业证明材料》</w:t>
      </w:r>
    </w:p>
    <w:p w14:paraId="4D46402B">
      <w:pPr>
        <w:pStyle w:val="36"/>
        <w:ind w:firstLine="640"/>
        <w:rPr>
          <w:rFonts w:ascii="宋体" w:hAnsi="宋体" w:eastAsia="宋体" w:cs="宋体"/>
          <w:color w:val="000000" w:themeColor="text1"/>
          <w:highlight w:val="none"/>
          <w14:textFill>
            <w14:solidFill>
              <w14:schemeClr w14:val="tx1"/>
            </w14:solidFill>
          </w14:textFill>
        </w:rPr>
      </w:pPr>
    </w:p>
    <w:p w14:paraId="4A3EECB6">
      <w:pPr>
        <w:spacing w:line="360" w:lineRule="auto"/>
        <w:jc w:val="center"/>
        <w:rPr>
          <w:rFonts w:ascii="宋体" w:hAnsi="宋体" w:eastAsia="宋体" w:cs="宋体"/>
          <w:b/>
          <w:bCs/>
          <w:color w:val="000000" w:themeColor="text1"/>
          <w:kern w:val="0"/>
          <w:sz w:val="28"/>
          <w:szCs w:val="28"/>
          <w:highlight w:val="none"/>
          <w14:textFill>
            <w14:solidFill>
              <w14:schemeClr w14:val="tx1"/>
            </w14:solidFill>
          </w14:textFill>
        </w:rPr>
      </w:pPr>
      <w:r>
        <w:rPr>
          <w:rFonts w:hint="eastAsia" w:ascii="宋体" w:hAnsi="宋体" w:eastAsia="宋体" w:cs="宋体"/>
          <w:b/>
          <w:bCs/>
          <w:color w:val="000000" w:themeColor="text1"/>
          <w:kern w:val="0"/>
          <w:sz w:val="28"/>
          <w:szCs w:val="28"/>
          <w:highlight w:val="none"/>
          <w14:textFill>
            <w14:solidFill>
              <w14:schemeClr w14:val="tx1"/>
            </w14:solidFill>
          </w14:textFill>
        </w:rPr>
        <w:t xml:space="preserve"> 监狱企业证明材料</w:t>
      </w:r>
      <w:bookmarkEnd w:id="134"/>
      <w:r>
        <w:rPr>
          <w:rFonts w:hint="eastAsia" w:ascii="宋体" w:hAnsi="宋体" w:eastAsia="宋体" w:cs="宋体"/>
          <w:b/>
          <w:bCs/>
          <w:color w:val="000000" w:themeColor="text1"/>
          <w:kern w:val="0"/>
          <w:sz w:val="28"/>
          <w:szCs w:val="28"/>
          <w:highlight w:val="none"/>
          <w14:textFill>
            <w14:solidFill>
              <w14:schemeClr w14:val="tx1"/>
            </w14:solidFill>
          </w14:textFill>
        </w:rPr>
        <w:t>（若有）</w:t>
      </w:r>
    </w:p>
    <w:p w14:paraId="3725AE46">
      <w:pPr>
        <w:spacing w:line="360" w:lineRule="auto"/>
        <w:rPr>
          <w:rFonts w:ascii="宋体" w:hAnsi="宋体" w:eastAsia="宋体" w:cs="宋体"/>
          <w:b/>
          <w:color w:val="000000" w:themeColor="text1"/>
          <w:spacing w:val="6"/>
          <w:highlight w:val="none"/>
          <w14:textFill>
            <w14:solidFill>
              <w14:schemeClr w14:val="tx1"/>
            </w14:solidFill>
          </w14:textFill>
        </w:rPr>
      </w:pPr>
      <w:r>
        <w:rPr>
          <w:rFonts w:hint="eastAsia" w:ascii="宋体" w:hAnsi="宋体" w:eastAsia="宋体" w:cs="宋体"/>
          <w:b/>
          <w:color w:val="000000" w:themeColor="text1"/>
          <w:spacing w:val="6"/>
          <w:highlight w:val="none"/>
          <w14:textFill>
            <w14:solidFill>
              <w14:schemeClr w14:val="tx1"/>
            </w14:solidFill>
          </w14:textFill>
        </w:rPr>
        <w:t>说明</w:t>
      </w:r>
    </w:p>
    <w:p w14:paraId="5E623A8F">
      <w:pPr>
        <w:spacing w:line="360" w:lineRule="auto"/>
        <w:ind w:firstLine="480" w:firstLineChars="200"/>
        <w:rPr>
          <w:rFonts w:ascii="宋体" w:hAnsi="宋体" w:eastAsia="宋体" w:cs="宋体"/>
          <w:b/>
          <w:color w:val="000000" w:themeColor="text1"/>
          <w:spacing w:val="6"/>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1.监狱企业参加政府采购活动时，应当提供由省级以上监狱管理局、戒毒管理局(含新疆生产建设兵团)出具的属于监狱企业的证明文件。监狱企业参加政府采购活动时，视同小型、微型企业。</w:t>
      </w:r>
    </w:p>
    <w:p w14:paraId="199B24AA">
      <w:pPr>
        <w:spacing w:line="360" w:lineRule="auto"/>
        <w:ind w:firstLine="42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pacing w:val="6"/>
          <w:highlight w:val="none"/>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如未提供证明材料的，则其不能享受竞争性磋商文件规定的价格扣减，但不影响供应商</w:t>
      </w:r>
      <w:r>
        <w:rPr>
          <w:rFonts w:hint="eastAsia" w:ascii="宋体" w:hAnsi="宋体" w:eastAsia="宋体" w:cs="宋体"/>
          <w:bCs/>
          <w:color w:val="000000" w:themeColor="text1"/>
          <w:highlight w:val="none"/>
          <w:lang w:val="zh-CN"/>
          <w14:textFill>
            <w14:solidFill>
              <w14:schemeClr w14:val="tx1"/>
            </w14:solidFill>
          </w14:textFill>
        </w:rPr>
        <w:t>磋商响应</w:t>
      </w:r>
      <w:r>
        <w:rPr>
          <w:rFonts w:hint="eastAsia" w:ascii="宋体" w:hAnsi="宋体" w:eastAsia="宋体" w:cs="宋体"/>
          <w:color w:val="000000" w:themeColor="text1"/>
          <w:highlight w:val="none"/>
          <w14:textFill>
            <w14:solidFill>
              <w14:schemeClr w14:val="tx1"/>
            </w14:solidFill>
          </w14:textFill>
        </w:rPr>
        <w:t>文件的有效性。</w:t>
      </w:r>
    </w:p>
    <w:p w14:paraId="1B8A1F9C">
      <w:pPr>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3.非监狱企业可以不提供本材料。</w:t>
      </w:r>
    </w:p>
    <w:p w14:paraId="224A212A">
      <w:pPr>
        <w:spacing w:line="520" w:lineRule="exact"/>
        <w:jc w:val="center"/>
        <w:rPr>
          <w:rFonts w:ascii="宋体" w:hAnsi="宋体" w:eastAsia="宋体" w:cs="宋体"/>
          <w:b/>
          <w:bCs/>
          <w:color w:val="000000" w:themeColor="text1"/>
          <w:sz w:val="32"/>
          <w:szCs w:val="32"/>
          <w:highlight w:val="none"/>
          <w14:textFill>
            <w14:solidFill>
              <w14:schemeClr w14:val="tx1"/>
            </w14:solidFill>
          </w14:textFill>
        </w:rPr>
      </w:pPr>
    </w:p>
    <w:p w14:paraId="51ACBFB9">
      <w:pPr>
        <w:spacing w:line="520" w:lineRule="exact"/>
        <w:jc w:val="center"/>
        <w:rPr>
          <w:rFonts w:ascii="宋体" w:hAnsi="宋体" w:eastAsia="宋体" w:cs="宋体"/>
          <w:b/>
          <w:bCs/>
          <w:color w:val="000000" w:themeColor="text1"/>
          <w:sz w:val="32"/>
          <w:szCs w:val="32"/>
          <w:highlight w:val="none"/>
          <w14:textFill>
            <w14:solidFill>
              <w14:schemeClr w14:val="tx1"/>
            </w14:solidFill>
          </w14:textFill>
        </w:rPr>
      </w:pPr>
    </w:p>
    <w:p w14:paraId="4C0C0A4E">
      <w:pPr>
        <w:pStyle w:val="10"/>
        <w:spacing w:line="500" w:lineRule="exact"/>
        <w:ind w:firstLine="3078" w:firstLineChars="1175"/>
        <w:rPr>
          <w:rFonts w:ascii="宋体" w:hAnsi="宋体" w:cs="宋体"/>
          <w:spacing w:val="11"/>
          <w:kern w:val="0"/>
          <w:sz w:val="24"/>
          <w:szCs w:val="24"/>
          <w:highlight w:val="none"/>
          <w:u w:val="single"/>
        </w:rPr>
      </w:pPr>
      <w:r>
        <w:rPr>
          <w:rFonts w:hint="eastAsia" w:ascii="宋体" w:hAnsi="宋体" w:cs="宋体"/>
          <w:spacing w:val="11"/>
          <w:kern w:val="0"/>
          <w:sz w:val="24"/>
          <w:szCs w:val="24"/>
          <w:highlight w:val="none"/>
        </w:rPr>
        <w:t>企业名称：</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（公章）</w:t>
      </w:r>
    </w:p>
    <w:p w14:paraId="7B203E16">
      <w:pPr>
        <w:pStyle w:val="10"/>
        <w:spacing w:line="500" w:lineRule="exact"/>
        <w:ind w:firstLine="3078" w:firstLineChars="1175"/>
        <w:rPr>
          <w:rFonts w:ascii="宋体" w:hAnsi="宋体" w:cs="宋体"/>
          <w:spacing w:val="11"/>
          <w:kern w:val="0"/>
          <w:sz w:val="24"/>
          <w:szCs w:val="24"/>
          <w:highlight w:val="none"/>
        </w:rPr>
      </w:pPr>
      <w:r>
        <w:rPr>
          <w:rFonts w:hint="eastAsia" w:ascii="宋体" w:hAnsi="宋体" w:cs="宋体"/>
          <w:spacing w:val="11"/>
          <w:kern w:val="0"/>
          <w:sz w:val="24"/>
          <w:szCs w:val="24"/>
          <w:highlight w:val="none"/>
        </w:rPr>
        <w:t>日    期：</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年</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月</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日</w:t>
      </w:r>
    </w:p>
    <w:p w14:paraId="53307A86">
      <w:pPr>
        <w:tabs>
          <w:tab w:val="left" w:pos="4860"/>
        </w:tabs>
        <w:spacing w:line="360" w:lineRule="auto"/>
        <w:ind w:right="1560" w:firstLine="504" w:firstLineChars="200"/>
        <w:jc w:val="center"/>
        <w:rPr>
          <w:rFonts w:ascii="宋体" w:hAnsi="宋体" w:eastAsia="宋体" w:cs="宋体"/>
          <w:color w:val="000000" w:themeColor="text1"/>
          <w:spacing w:val="6"/>
          <w:szCs w:val="24"/>
          <w:highlight w:val="none"/>
          <w14:textFill>
            <w14:solidFill>
              <w14:schemeClr w14:val="tx1"/>
            </w14:solidFill>
          </w14:textFill>
        </w:rPr>
      </w:pPr>
    </w:p>
    <w:p w14:paraId="293F60AA">
      <w:pPr>
        <w:rPr>
          <w:rFonts w:ascii="宋体" w:hAnsi="宋体" w:eastAsia="宋体" w:cs="宋体"/>
          <w:b/>
          <w:color w:val="000000" w:themeColor="text1"/>
          <w:sz w:val="44"/>
          <w:szCs w:val="44"/>
          <w:highlight w:val="none"/>
          <w14:textFill>
            <w14:solidFill>
              <w14:schemeClr w14:val="tx1"/>
            </w14:solidFill>
          </w14:textFill>
        </w:rPr>
      </w:pPr>
    </w:p>
    <w:p w14:paraId="4C67B997">
      <w:pPr>
        <w:pStyle w:val="13"/>
        <w:rPr>
          <w:rFonts w:ascii="宋体" w:hAnsi="宋体" w:eastAsia="宋体" w:cs="宋体"/>
          <w:b/>
          <w:color w:val="000000" w:themeColor="text1"/>
          <w:sz w:val="44"/>
          <w:szCs w:val="44"/>
          <w:highlight w:val="none"/>
          <w14:textFill>
            <w14:solidFill>
              <w14:schemeClr w14:val="tx1"/>
            </w14:solidFill>
          </w14:textFill>
        </w:rPr>
      </w:pPr>
    </w:p>
    <w:p w14:paraId="7C5D8FB4">
      <w:pPr>
        <w:rPr>
          <w:rFonts w:ascii="宋体" w:hAnsi="宋体" w:eastAsia="宋体" w:cs="宋体"/>
          <w:b/>
          <w:color w:val="000000" w:themeColor="text1"/>
          <w:sz w:val="44"/>
          <w:szCs w:val="44"/>
          <w:highlight w:val="none"/>
          <w14:textFill>
            <w14:solidFill>
              <w14:schemeClr w14:val="tx1"/>
            </w14:solidFill>
          </w14:textFill>
        </w:rPr>
      </w:pPr>
    </w:p>
    <w:p w14:paraId="33300245">
      <w:pPr>
        <w:pStyle w:val="13"/>
        <w:rPr>
          <w:rFonts w:ascii="宋体" w:hAnsi="宋体" w:eastAsia="宋体" w:cs="宋体"/>
          <w:b/>
          <w:color w:val="000000" w:themeColor="text1"/>
          <w:sz w:val="44"/>
          <w:szCs w:val="44"/>
          <w:highlight w:val="none"/>
          <w14:textFill>
            <w14:solidFill>
              <w14:schemeClr w14:val="tx1"/>
            </w14:solidFill>
          </w14:textFill>
        </w:rPr>
      </w:pPr>
    </w:p>
    <w:p w14:paraId="29935DB1">
      <w:pPr>
        <w:rPr>
          <w:rFonts w:ascii="宋体" w:hAnsi="宋体" w:eastAsia="宋体" w:cs="宋体"/>
          <w:b/>
          <w:color w:val="000000" w:themeColor="text1"/>
          <w:sz w:val="44"/>
          <w:szCs w:val="44"/>
          <w:highlight w:val="none"/>
          <w14:textFill>
            <w14:solidFill>
              <w14:schemeClr w14:val="tx1"/>
            </w14:solidFill>
          </w14:textFill>
        </w:rPr>
      </w:pPr>
    </w:p>
    <w:p w14:paraId="5332C139">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546F87E3">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1CFA2BF7">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7F1A21B5">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17589651">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47B752B5">
      <w:pPr>
        <w:rPr>
          <w:rFonts w:ascii="宋体" w:hAnsi="宋体" w:eastAsia="宋体" w:cs="宋体"/>
          <w:b/>
          <w:bCs/>
          <w:color w:val="000000" w:themeColor="text1"/>
          <w:szCs w:val="28"/>
          <w:highlight w:val="none"/>
          <w14:textFill>
            <w14:solidFill>
              <w14:schemeClr w14:val="tx1"/>
            </w14:solidFill>
          </w14:textFill>
        </w:rPr>
      </w:pPr>
    </w:p>
    <w:sectPr>
      <w:headerReference r:id="rId8" w:type="default"/>
      <w:footerReference r:id="rId9" w:type="default"/>
      <w:pgSz w:w="11907" w:h="16840"/>
      <w:pgMar w:top="1440" w:right="1080" w:bottom="1440" w:left="1080" w:header="935" w:footer="771" w:gutter="567"/>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enl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300000000000000"/>
    <w:charset w:val="88"/>
    <w:family w:val="auto"/>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font-weight : 400">
    <w:altName w:val="Courier New"/>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6A673">
    <w:pPr>
      <w:pStyle w:val="2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0BE71">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7D0BE71">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9F97C">
    <w:pPr>
      <w:pStyle w:val="2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4F92EF">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4F92EF">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C622">
    <w:pPr>
      <w:spacing w:line="179" w:lineRule="auto"/>
      <w:ind w:left="7768"/>
      <w:rPr>
        <w:rFonts w:ascii="宋体" w:hAnsi="宋体" w:eastAsia="宋体" w:cs="宋体"/>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D3D09">
                          <w:pPr>
                            <w:pStyle w:val="2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B4D3D09">
                    <w:pPr>
                      <w:pStyle w:val="2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4297E">
    <w:pPr>
      <w:pStyle w:val="2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6B7A77">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16B7A77">
                    <w:pPr>
                      <w:pStyle w:val="22"/>
                    </w:pPr>
                    <w:r>
                      <w:fldChar w:fldCharType="begin"/>
                    </w:r>
                    <w:r>
                      <w:instrText xml:space="preserve"> PAGE  \* MERGEFORMAT </w:instrText>
                    </w:r>
                    <w:r>
                      <w:fldChar w:fldCharType="separate"/>
                    </w:r>
                    <w:r>
                      <w:t>1</w:t>
                    </w:r>
                    <w:r>
                      <w:fldChar w:fldCharType="end"/>
                    </w:r>
                  </w:p>
                </w:txbxContent>
              </v:textbox>
            </v:shape>
          </w:pict>
        </mc:Fallback>
      </mc:AlternateContent>
    </w:r>
  </w:p>
  <w:p w14:paraId="77B6F4C6">
    <w:pPr>
      <w:pStyle w:val="2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B7E8C">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11BEE">
                          <w:pPr>
                            <w:pStyle w:val="22"/>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D311BEE">
                    <w:pPr>
                      <w:pStyle w:val="22"/>
                    </w:pPr>
                    <w:r>
                      <w:fldChar w:fldCharType="begin"/>
                    </w:r>
                    <w:r>
                      <w:instrText xml:space="preserve"> PAGE  \* MERGEFORMAT </w:instrText>
                    </w:r>
                    <w:r>
                      <w:fldChar w:fldCharType="separate"/>
                    </w:r>
                    <w:r>
                      <w:t>61</w:t>
                    </w:r>
                    <w:r>
                      <w:fldChar w:fldCharType="end"/>
                    </w:r>
                  </w:p>
                </w:txbxContent>
              </v:textbox>
            </v:shape>
          </w:pict>
        </mc:Fallback>
      </mc:AlternateContent>
    </w:r>
  </w:p>
  <w:p w14:paraId="06D85478">
    <w:pPr>
      <w:pStyle w:val="13"/>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A17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F5CC7">
    <w:pPr>
      <w:pStyle w:val="2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6E10CE"/>
    <w:multiLevelType w:val="singleLevel"/>
    <w:tmpl w:val="AA6E10CE"/>
    <w:lvl w:ilvl="0" w:tentative="0">
      <w:start w:val="3"/>
      <w:numFmt w:val="decimal"/>
      <w:suff w:val="nothing"/>
      <w:lvlText w:val="%1、"/>
      <w:lvlJc w:val="left"/>
    </w:lvl>
  </w:abstractNum>
  <w:abstractNum w:abstractNumId="1">
    <w:nsid w:val="ABD90774"/>
    <w:multiLevelType w:val="singleLevel"/>
    <w:tmpl w:val="ABD90774"/>
    <w:lvl w:ilvl="0" w:tentative="0">
      <w:start w:val="1"/>
      <w:numFmt w:val="decimal"/>
      <w:suff w:val="nothing"/>
      <w:lvlText w:val="%1）"/>
      <w:lvlJc w:val="left"/>
    </w:lvl>
  </w:abstractNum>
  <w:abstractNum w:abstractNumId="2">
    <w:nsid w:val="DB860BB7"/>
    <w:multiLevelType w:val="singleLevel"/>
    <w:tmpl w:val="DB860BB7"/>
    <w:lvl w:ilvl="0" w:tentative="0">
      <w:start w:val="2"/>
      <w:numFmt w:val="decimal"/>
      <w:suff w:val="nothing"/>
      <w:lvlText w:val="%1、"/>
      <w:lvlJc w:val="left"/>
    </w:lvl>
  </w:abstractNum>
  <w:abstractNum w:abstractNumId="3">
    <w:nsid w:val="DBCDAD84"/>
    <w:multiLevelType w:val="singleLevel"/>
    <w:tmpl w:val="DBCDAD84"/>
    <w:lvl w:ilvl="0" w:tentative="0">
      <w:start w:val="1"/>
      <w:numFmt w:val="decimal"/>
      <w:suff w:val="nothing"/>
      <w:lvlText w:val="%1）"/>
      <w:lvlJc w:val="left"/>
    </w:lvl>
  </w:abstractNum>
  <w:abstractNum w:abstractNumId="4">
    <w:nsid w:val="23175427"/>
    <w:multiLevelType w:val="multilevel"/>
    <w:tmpl w:val="23175427"/>
    <w:lvl w:ilvl="0" w:tentative="0">
      <w:start w:val="1"/>
      <w:numFmt w:val="decimal"/>
      <w:isLgl/>
      <w:suff w:val="space"/>
      <w:lvlText w:val="第%1章"/>
      <w:lvlJc w:val="left"/>
      <w:pPr>
        <w:ind w:left="0" w:firstLine="0"/>
      </w:pPr>
      <w:rPr>
        <w:rFonts w:hint="default" w:ascii="Times New Roman" w:hAnsi="Times New Roman" w:eastAsia="宋体" w:cs="Times New Roman"/>
        <w:b/>
        <w:bCs w:val="0"/>
        <w:i w:val="0"/>
        <w:iCs w:val="0"/>
        <w:caps w:val="0"/>
        <w:strike w:val="0"/>
        <w:dstrike w:val="0"/>
        <w:vanish w:val="0"/>
        <w:color w:val="000000"/>
        <w:spacing w:val="0"/>
        <w:position w:val="0"/>
        <w:sz w:val="44"/>
        <w:u w:val="none"/>
        <w:vertAlign w:val="baseline"/>
      </w:rPr>
    </w:lvl>
    <w:lvl w:ilvl="1" w:tentative="0">
      <w:start w:val="1"/>
      <w:numFmt w:val="decimal"/>
      <w:isLgl/>
      <w:suff w:val="space"/>
      <w:lvlText w:val="%1.%2"/>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lang w:val="zh-CN" w:eastAsia="zh-CN"/>
      </w:rPr>
    </w:lvl>
    <w:lvl w:ilvl="2" w:tentative="0">
      <w:start w:val="1"/>
      <w:numFmt w:val="decimal"/>
      <w:pStyle w:val="4"/>
      <w:isLgl/>
      <w:suff w:val="space"/>
      <w:lvlText w:val="%1.%2.%3"/>
      <w:lvlJc w:val="left"/>
      <w:pPr>
        <w:ind w:left="0" w:firstLine="0"/>
      </w:pPr>
      <w:rPr>
        <w:rFonts w:hint="default" w:ascii="Times New Roman" w:hAnsi="Times New Roman" w:eastAsia="宋体" w:cs="Times New Roman"/>
        <w:b/>
        <w:bCs w:val="0"/>
        <w:i w:val="0"/>
        <w:iCs w:val="0"/>
        <w:caps w:val="0"/>
        <w:smallCaps w:val="0"/>
        <w:strike w:val="0"/>
        <w:dstrike w:val="0"/>
        <w:vanish w:val="0"/>
        <w:color w:val="000000"/>
        <w:spacing w:val="0"/>
        <w:position w:val="0"/>
        <w:sz w:val="28"/>
        <w:u w:val="none"/>
        <w:vertAlign w:val="baseline"/>
      </w:rPr>
    </w:lvl>
    <w:lvl w:ilvl="3" w:tentative="0">
      <w:start w:val="1"/>
      <w:numFmt w:val="decimal"/>
      <w:pStyle w:val="5"/>
      <w:isLgl/>
      <w:suff w:val="space"/>
      <w:lvlText w:val="%1.%2.%3.%4"/>
      <w:lvlJc w:val="left"/>
      <w:pPr>
        <w:ind w:left="0" w:firstLine="0"/>
      </w:pPr>
      <w:rPr>
        <w:rFonts w:hint="default" w:ascii="Times New Roman" w:hAnsi="Times New Roman" w:eastAsia="宋体" w:cs="Times New Roman"/>
        <w:b/>
        <w:bCs w:val="0"/>
        <w:i w:val="0"/>
        <w:iCs w:val="0"/>
        <w:caps w:val="0"/>
        <w:smallCaps w:val="0"/>
        <w:strike w:val="0"/>
        <w:dstrike w:val="0"/>
        <w:vanish w:val="0"/>
        <w:color w:val="auto"/>
        <w:spacing w:val="0"/>
        <w:position w:val="0"/>
        <w:sz w:val="30"/>
        <w:u w:val="none"/>
        <w:vertAlign w:val="baseline"/>
      </w:rPr>
    </w:lvl>
    <w:lvl w:ilvl="4" w:tentative="0">
      <w:start w:val="1"/>
      <w:numFmt w:val="decimal"/>
      <w:isLgl/>
      <w:suff w:val="space"/>
      <w:lvlText w:val="%1.%2.%3.%4.%5"/>
      <w:lvlJc w:val="center"/>
      <w:pPr>
        <w:ind w:left="1134" w:firstLine="0"/>
      </w:pPr>
      <w:rPr>
        <w:rFonts w:hint="eastAsia" w:cs="Times New Roman"/>
        <w:b/>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center"/>
      <w:pPr>
        <w:ind w:left="624" w:firstLine="794"/>
      </w:pPr>
      <w:rPr>
        <w:rFonts w:hint="default" w:ascii="Times New Roman" w:hAnsi="Times New Roman" w:eastAsia="宋体"/>
        <w:b/>
        <w:i w:val="0"/>
        <w:sz w:val="24"/>
      </w:rPr>
    </w:lvl>
    <w:lvl w:ilvl="6" w:tentative="0">
      <w:start w:val="1"/>
      <w:numFmt w:val="decimal"/>
      <w:isLgl/>
      <w:lvlText w:val="%1.%2.%3.%4.%5.%6.%7"/>
      <w:lvlJc w:val="left"/>
      <w:pPr>
        <w:tabs>
          <w:tab w:val="left" w:pos="1134"/>
        </w:tabs>
        <w:ind w:left="1134" w:hanging="283"/>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5">
    <w:nsid w:val="3BB01D76"/>
    <w:multiLevelType w:val="singleLevel"/>
    <w:tmpl w:val="3BB01D76"/>
    <w:lvl w:ilvl="0" w:tentative="0">
      <w:start w:val="1"/>
      <w:numFmt w:val="decimal"/>
      <w:suff w:val="nothing"/>
      <w:lvlText w:val="%1、"/>
      <w:lvlJc w:val="left"/>
    </w:lvl>
  </w:abstractNum>
  <w:abstractNum w:abstractNumId="6">
    <w:nsid w:val="576A36EB"/>
    <w:multiLevelType w:val="singleLevel"/>
    <w:tmpl w:val="576A36EB"/>
    <w:lvl w:ilvl="0" w:tentative="0">
      <w:start w:val="1"/>
      <w:numFmt w:val="decimal"/>
      <w:suff w:val="nothing"/>
      <w:lvlText w:val="（%1）"/>
      <w:lvlJc w:val="left"/>
    </w:lvl>
  </w:abstractNum>
  <w:abstractNum w:abstractNumId="7">
    <w:nsid w:val="77EB11A4"/>
    <w:multiLevelType w:val="singleLevel"/>
    <w:tmpl w:val="77EB11A4"/>
    <w:lvl w:ilvl="0" w:tentative="0">
      <w:start w:val="1"/>
      <w:numFmt w:val="decimal"/>
      <w:suff w:val="nothing"/>
      <w:lvlText w:val="%1）"/>
      <w:lvlJc w:val="left"/>
    </w:lvl>
  </w:abstractNum>
  <w:num w:numId="1">
    <w:abstractNumId w:val="4"/>
  </w:num>
  <w:num w:numId="2">
    <w:abstractNumId w:val="7"/>
  </w:num>
  <w:num w:numId="3">
    <w:abstractNumId w:val="5"/>
  </w:num>
  <w:num w:numId="4">
    <w:abstractNumId w:val="1"/>
  </w:num>
  <w:num w:numId="5">
    <w:abstractNumId w:val="6"/>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attachedTemplate r:id="rId1"/>
  <w:documentProtection w:edit="forms"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5ZTYxMDA3MjM4ZDg3M2Y0Yjg4NmRkODdmMDU2YWIifQ=="/>
  </w:docVars>
  <w:rsids>
    <w:rsidRoot w:val="41465FC8"/>
    <w:rsid w:val="00003426"/>
    <w:rsid w:val="00006FA1"/>
    <w:rsid w:val="00022236"/>
    <w:rsid w:val="0002408A"/>
    <w:rsid w:val="00036FC1"/>
    <w:rsid w:val="00043E20"/>
    <w:rsid w:val="0004523C"/>
    <w:rsid w:val="00047FBB"/>
    <w:rsid w:val="00052451"/>
    <w:rsid w:val="00063415"/>
    <w:rsid w:val="000710E4"/>
    <w:rsid w:val="00074089"/>
    <w:rsid w:val="000745EA"/>
    <w:rsid w:val="00080B79"/>
    <w:rsid w:val="00087371"/>
    <w:rsid w:val="00095FBD"/>
    <w:rsid w:val="000A2883"/>
    <w:rsid w:val="000A6D46"/>
    <w:rsid w:val="000A781D"/>
    <w:rsid w:val="000B3D41"/>
    <w:rsid w:val="000B42F1"/>
    <w:rsid w:val="000B4395"/>
    <w:rsid w:val="000B5F4B"/>
    <w:rsid w:val="000B639E"/>
    <w:rsid w:val="000C58D2"/>
    <w:rsid w:val="000C5F95"/>
    <w:rsid w:val="000E3F51"/>
    <w:rsid w:val="000F0940"/>
    <w:rsid w:val="000F3171"/>
    <w:rsid w:val="000F5EF9"/>
    <w:rsid w:val="000F669A"/>
    <w:rsid w:val="00104386"/>
    <w:rsid w:val="0010649D"/>
    <w:rsid w:val="001077DC"/>
    <w:rsid w:val="0011052E"/>
    <w:rsid w:val="0011163A"/>
    <w:rsid w:val="00125AAB"/>
    <w:rsid w:val="001339BF"/>
    <w:rsid w:val="001628A6"/>
    <w:rsid w:val="00164B0E"/>
    <w:rsid w:val="0017021E"/>
    <w:rsid w:val="00173405"/>
    <w:rsid w:val="00180FB1"/>
    <w:rsid w:val="00194343"/>
    <w:rsid w:val="001A713F"/>
    <w:rsid w:val="001B1285"/>
    <w:rsid w:val="001B5312"/>
    <w:rsid w:val="001B5F2A"/>
    <w:rsid w:val="001D7251"/>
    <w:rsid w:val="001F436E"/>
    <w:rsid w:val="001F6EAC"/>
    <w:rsid w:val="00205593"/>
    <w:rsid w:val="00210ACE"/>
    <w:rsid w:val="00221372"/>
    <w:rsid w:val="00223B5F"/>
    <w:rsid w:val="00233075"/>
    <w:rsid w:val="00240CC9"/>
    <w:rsid w:val="002413C2"/>
    <w:rsid w:val="00243FFC"/>
    <w:rsid w:val="0024780A"/>
    <w:rsid w:val="00251F4A"/>
    <w:rsid w:val="00254B37"/>
    <w:rsid w:val="002615D5"/>
    <w:rsid w:val="002702A9"/>
    <w:rsid w:val="00277BB8"/>
    <w:rsid w:val="002914A5"/>
    <w:rsid w:val="002A0102"/>
    <w:rsid w:val="002A14F9"/>
    <w:rsid w:val="002A3E1E"/>
    <w:rsid w:val="002C138B"/>
    <w:rsid w:val="002C3078"/>
    <w:rsid w:val="002D12CD"/>
    <w:rsid w:val="002D478D"/>
    <w:rsid w:val="003144C7"/>
    <w:rsid w:val="00321DB7"/>
    <w:rsid w:val="003236B2"/>
    <w:rsid w:val="00326E49"/>
    <w:rsid w:val="003375D5"/>
    <w:rsid w:val="00354D74"/>
    <w:rsid w:val="00361B18"/>
    <w:rsid w:val="0036229A"/>
    <w:rsid w:val="00373096"/>
    <w:rsid w:val="00385303"/>
    <w:rsid w:val="00387E0C"/>
    <w:rsid w:val="003923C1"/>
    <w:rsid w:val="003A525C"/>
    <w:rsid w:val="003B599E"/>
    <w:rsid w:val="003C133E"/>
    <w:rsid w:val="003C2E65"/>
    <w:rsid w:val="003C5166"/>
    <w:rsid w:val="003D6DF0"/>
    <w:rsid w:val="003F1588"/>
    <w:rsid w:val="003F2227"/>
    <w:rsid w:val="003F25AC"/>
    <w:rsid w:val="00402C0F"/>
    <w:rsid w:val="004038A4"/>
    <w:rsid w:val="00405BC2"/>
    <w:rsid w:val="004127A6"/>
    <w:rsid w:val="00412931"/>
    <w:rsid w:val="00413C8B"/>
    <w:rsid w:val="004318F1"/>
    <w:rsid w:val="00440FC6"/>
    <w:rsid w:val="00441ACA"/>
    <w:rsid w:val="0044501A"/>
    <w:rsid w:val="00445EE2"/>
    <w:rsid w:val="00446139"/>
    <w:rsid w:val="00453050"/>
    <w:rsid w:val="00457797"/>
    <w:rsid w:val="00457CC4"/>
    <w:rsid w:val="00460062"/>
    <w:rsid w:val="0047413C"/>
    <w:rsid w:val="00476F70"/>
    <w:rsid w:val="00485062"/>
    <w:rsid w:val="00486CB6"/>
    <w:rsid w:val="004A6797"/>
    <w:rsid w:val="004D0132"/>
    <w:rsid w:val="004D4A1B"/>
    <w:rsid w:val="004E54F3"/>
    <w:rsid w:val="0051051A"/>
    <w:rsid w:val="00520765"/>
    <w:rsid w:val="005221E3"/>
    <w:rsid w:val="00533556"/>
    <w:rsid w:val="00545181"/>
    <w:rsid w:val="00553147"/>
    <w:rsid w:val="00572B97"/>
    <w:rsid w:val="00575BA0"/>
    <w:rsid w:val="0057675F"/>
    <w:rsid w:val="00590C69"/>
    <w:rsid w:val="005918EA"/>
    <w:rsid w:val="005B45BD"/>
    <w:rsid w:val="005C6F6A"/>
    <w:rsid w:val="005D07E1"/>
    <w:rsid w:val="005D1853"/>
    <w:rsid w:val="005E034A"/>
    <w:rsid w:val="005E0FB5"/>
    <w:rsid w:val="005E5ADA"/>
    <w:rsid w:val="005E6D4F"/>
    <w:rsid w:val="005E705B"/>
    <w:rsid w:val="005F3C74"/>
    <w:rsid w:val="005F7E3A"/>
    <w:rsid w:val="00617766"/>
    <w:rsid w:val="00622BD1"/>
    <w:rsid w:val="006272B9"/>
    <w:rsid w:val="006277AE"/>
    <w:rsid w:val="00631178"/>
    <w:rsid w:val="006322E7"/>
    <w:rsid w:val="00635354"/>
    <w:rsid w:val="006367EA"/>
    <w:rsid w:val="00650084"/>
    <w:rsid w:val="006538C4"/>
    <w:rsid w:val="0065785F"/>
    <w:rsid w:val="00660821"/>
    <w:rsid w:val="00665735"/>
    <w:rsid w:val="006750CF"/>
    <w:rsid w:val="006754F5"/>
    <w:rsid w:val="00675555"/>
    <w:rsid w:val="00681211"/>
    <w:rsid w:val="006A1431"/>
    <w:rsid w:val="006B0903"/>
    <w:rsid w:val="006B23F5"/>
    <w:rsid w:val="006B5229"/>
    <w:rsid w:val="006E2733"/>
    <w:rsid w:val="006F3A8C"/>
    <w:rsid w:val="006F435D"/>
    <w:rsid w:val="007059A5"/>
    <w:rsid w:val="0071166B"/>
    <w:rsid w:val="007152F2"/>
    <w:rsid w:val="00717F63"/>
    <w:rsid w:val="007200AE"/>
    <w:rsid w:val="007234F4"/>
    <w:rsid w:val="007246FD"/>
    <w:rsid w:val="00725323"/>
    <w:rsid w:val="00732078"/>
    <w:rsid w:val="007333EF"/>
    <w:rsid w:val="00733B83"/>
    <w:rsid w:val="007348A8"/>
    <w:rsid w:val="00734B15"/>
    <w:rsid w:val="007449E8"/>
    <w:rsid w:val="00751883"/>
    <w:rsid w:val="00754ED5"/>
    <w:rsid w:val="00793377"/>
    <w:rsid w:val="007A09C0"/>
    <w:rsid w:val="007A1935"/>
    <w:rsid w:val="007B1294"/>
    <w:rsid w:val="007B4E4D"/>
    <w:rsid w:val="007C2913"/>
    <w:rsid w:val="007C6EE9"/>
    <w:rsid w:val="007C7DB0"/>
    <w:rsid w:val="007D0822"/>
    <w:rsid w:val="007D3391"/>
    <w:rsid w:val="007D37BD"/>
    <w:rsid w:val="007E6225"/>
    <w:rsid w:val="007E748C"/>
    <w:rsid w:val="007F3947"/>
    <w:rsid w:val="00805906"/>
    <w:rsid w:val="00813E51"/>
    <w:rsid w:val="00817200"/>
    <w:rsid w:val="0081788C"/>
    <w:rsid w:val="00821643"/>
    <w:rsid w:val="008227E9"/>
    <w:rsid w:val="00823C8D"/>
    <w:rsid w:val="00826CD6"/>
    <w:rsid w:val="008431FB"/>
    <w:rsid w:val="00854B3F"/>
    <w:rsid w:val="008619F6"/>
    <w:rsid w:val="008741B5"/>
    <w:rsid w:val="0087716F"/>
    <w:rsid w:val="00891EAC"/>
    <w:rsid w:val="008934AD"/>
    <w:rsid w:val="0089410F"/>
    <w:rsid w:val="008977B6"/>
    <w:rsid w:val="00897869"/>
    <w:rsid w:val="008B5752"/>
    <w:rsid w:val="008C372B"/>
    <w:rsid w:val="008C4294"/>
    <w:rsid w:val="008E0CAF"/>
    <w:rsid w:val="008E6809"/>
    <w:rsid w:val="008E7317"/>
    <w:rsid w:val="008E7386"/>
    <w:rsid w:val="008F4B51"/>
    <w:rsid w:val="008F5A15"/>
    <w:rsid w:val="00904E30"/>
    <w:rsid w:val="009060C2"/>
    <w:rsid w:val="00913454"/>
    <w:rsid w:val="00913F6B"/>
    <w:rsid w:val="00935CF6"/>
    <w:rsid w:val="00937917"/>
    <w:rsid w:val="009430A2"/>
    <w:rsid w:val="00951C0F"/>
    <w:rsid w:val="00951FEE"/>
    <w:rsid w:val="00954C7D"/>
    <w:rsid w:val="00966178"/>
    <w:rsid w:val="00966F7F"/>
    <w:rsid w:val="009839B6"/>
    <w:rsid w:val="00983A6A"/>
    <w:rsid w:val="00983DB6"/>
    <w:rsid w:val="00987C65"/>
    <w:rsid w:val="00996A70"/>
    <w:rsid w:val="00996BBB"/>
    <w:rsid w:val="009A0D95"/>
    <w:rsid w:val="009A5F53"/>
    <w:rsid w:val="009A7A5E"/>
    <w:rsid w:val="009B0DAF"/>
    <w:rsid w:val="009B5996"/>
    <w:rsid w:val="009C05E0"/>
    <w:rsid w:val="009D5F76"/>
    <w:rsid w:val="009E5DAF"/>
    <w:rsid w:val="009E7B32"/>
    <w:rsid w:val="00A10976"/>
    <w:rsid w:val="00A1326E"/>
    <w:rsid w:val="00A14176"/>
    <w:rsid w:val="00A222E3"/>
    <w:rsid w:val="00A23712"/>
    <w:rsid w:val="00A23A8C"/>
    <w:rsid w:val="00A3397D"/>
    <w:rsid w:val="00A364AB"/>
    <w:rsid w:val="00A411D9"/>
    <w:rsid w:val="00A57AC2"/>
    <w:rsid w:val="00A61B80"/>
    <w:rsid w:val="00A711D1"/>
    <w:rsid w:val="00A760B8"/>
    <w:rsid w:val="00A765C7"/>
    <w:rsid w:val="00A925D3"/>
    <w:rsid w:val="00A94261"/>
    <w:rsid w:val="00AA602E"/>
    <w:rsid w:val="00AB26D6"/>
    <w:rsid w:val="00AB669E"/>
    <w:rsid w:val="00AD5220"/>
    <w:rsid w:val="00AD5554"/>
    <w:rsid w:val="00AE462C"/>
    <w:rsid w:val="00AF0EC0"/>
    <w:rsid w:val="00AF32B5"/>
    <w:rsid w:val="00AF39A2"/>
    <w:rsid w:val="00AF57B7"/>
    <w:rsid w:val="00AF69BB"/>
    <w:rsid w:val="00AF7ACC"/>
    <w:rsid w:val="00B03138"/>
    <w:rsid w:val="00B22942"/>
    <w:rsid w:val="00B355AA"/>
    <w:rsid w:val="00B67B37"/>
    <w:rsid w:val="00B829AA"/>
    <w:rsid w:val="00B9365B"/>
    <w:rsid w:val="00BA0AC3"/>
    <w:rsid w:val="00BA5FFB"/>
    <w:rsid w:val="00BA72D1"/>
    <w:rsid w:val="00BC4CE7"/>
    <w:rsid w:val="00BD06E9"/>
    <w:rsid w:val="00BD1E89"/>
    <w:rsid w:val="00BD4FCF"/>
    <w:rsid w:val="00BD6B55"/>
    <w:rsid w:val="00BE2F90"/>
    <w:rsid w:val="00BF3102"/>
    <w:rsid w:val="00C12ED0"/>
    <w:rsid w:val="00C13099"/>
    <w:rsid w:val="00C13128"/>
    <w:rsid w:val="00C1394E"/>
    <w:rsid w:val="00C215B2"/>
    <w:rsid w:val="00C24BC9"/>
    <w:rsid w:val="00C340AE"/>
    <w:rsid w:val="00C44CAB"/>
    <w:rsid w:val="00C46B77"/>
    <w:rsid w:val="00C46C4E"/>
    <w:rsid w:val="00C62DF9"/>
    <w:rsid w:val="00C67409"/>
    <w:rsid w:val="00C81EE7"/>
    <w:rsid w:val="00C83C4F"/>
    <w:rsid w:val="00C84D2B"/>
    <w:rsid w:val="00C91471"/>
    <w:rsid w:val="00C96B44"/>
    <w:rsid w:val="00CA144F"/>
    <w:rsid w:val="00CA7421"/>
    <w:rsid w:val="00CB086E"/>
    <w:rsid w:val="00CB6B97"/>
    <w:rsid w:val="00CC36DA"/>
    <w:rsid w:val="00CD40AB"/>
    <w:rsid w:val="00CE1722"/>
    <w:rsid w:val="00CE3A03"/>
    <w:rsid w:val="00CE3ECD"/>
    <w:rsid w:val="00CE5983"/>
    <w:rsid w:val="00CF5D91"/>
    <w:rsid w:val="00CF7E16"/>
    <w:rsid w:val="00D00AC9"/>
    <w:rsid w:val="00D03EFF"/>
    <w:rsid w:val="00D04056"/>
    <w:rsid w:val="00D158FC"/>
    <w:rsid w:val="00D210E0"/>
    <w:rsid w:val="00D22716"/>
    <w:rsid w:val="00D368E8"/>
    <w:rsid w:val="00D40848"/>
    <w:rsid w:val="00D40FF3"/>
    <w:rsid w:val="00D41DA0"/>
    <w:rsid w:val="00D4554D"/>
    <w:rsid w:val="00D6403C"/>
    <w:rsid w:val="00D667A9"/>
    <w:rsid w:val="00D84E9E"/>
    <w:rsid w:val="00D90D0F"/>
    <w:rsid w:val="00D91D99"/>
    <w:rsid w:val="00DD1949"/>
    <w:rsid w:val="00DE1CE7"/>
    <w:rsid w:val="00DF021D"/>
    <w:rsid w:val="00DF2CA1"/>
    <w:rsid w:val="00E149C3"/>
    <w:rsid w:val="00E214D4"/>
    <w:rsid w:val="00E31357"/>
    <w:rsid w:val="00E37CC6"/>
    <w:rsid w:val="00E40D6D"/>
    <w:rsid w:val="00E51FF1"/>
    <w:rsid w:val="00E557F5"/>
    <w:rsid w:val="00E64850"/>
    <w:rsid w:val="00E75123"/>
    <w:rsid w:val="00E822D5"/>
    <w:rsid w:val="00EA1129"/>
    <w:rsid w:val="00EA5363"/>
    <w:rsid w:val="00EA5D6B"/>
    <w:rsid w:val="00EB3114"/>
    <w:rsid w:val="00EB551E"/>
    <w:rsid w:val="00EC12EF"/>
    <w:rsid w:val="00EC4BE3"/>
    <w:rsid w:val="00EC57DC"/>
    <w:rsid w:val="00ED5D56"/>
    <w:rsid w:val="00EE02E4"/>
    <w:rsid w:val="00F056E9"/>
    <w:rsid w:val="00F16351"/>
    <w:rsid w:val="00F40693"/>
    <w:rsid w:val="00F6497D"/>
    <w:rsid w:val="00F64FB6"/>
    <w:rsid w:val="00F672E7"/>
    <w:rsid w:val="00F719C0"/>
    <w:rsid w:val="00F74DFC"/>
    <w:rsid w:val="00F848CB"/>
    <w:rsid w:val="00F93834"/>
    <w:rsid w:val="00FA0673"/>
    <w:rsid w:val="00FD2953"/>
    <w:rsid w:val="00FD2AAA"/>
    <w:rsid w:val="00FD3E36"/>
    <w:rsid w:val="00FD5940"/>
    <w:rsid w:val="00FE3C37"/>
    <w:rsid w:val="00FE647B"/>
    <w:rsid w:val="00FF6BD6"/>
    <w:rsid w:val="010A41B4"/>
    <w:rsid w:val="010A62F5"/>
    <w:rsid w:val="011C4FD6"/>
    <w:rsid w:val="012359E3"/>
    <w:rsid w:val="01373F65"/>
    <w:rsid w:val="01456ACF"/>
    <w:rsid w:val="015E6471"/>
    <w:rsid w:val="01604C89"/>
    <w:rsid w:val="017B707A"/>
    <w:rsid w:val="017F0C28"/>
    <w:rsid w:val="01815B04"/>
    <w:rsid w:val="0190275B"/>
    <w:rsid w:val="01942625"/>
    <w:rsid w:val="01A74486"/>
    <w:rsid w:val="01BD7A4F"/>
    <w:rsid w:val="01BF07E9"/>
    <w:rsid w:val="01EA6E6D"/>
    <w:rsid w:val="01EC7898"/>
    <w:rsid w:val="01F02992"/>
    <w:rsid w:val="01F24136"/>
    <w:rsid w:val="021043CC"/>
    <w:rsid w:val="02154C6B"/>
    <w:rsid w:val="02244A3B"/>
    <w:rsid w:val="0232197C"/>
    <w:rsid w:val="02473F0D"/>
    <w:rsid w:val="02544B31"/>
    <w:rsid w:val="025D4F22"/>
    <w:rsid w:val="0273481D"/>
    <w:rsid w:val="02760A5F"/>
    <w:rsid w:val="0276446A"/>
    <w:rsid w:val="027B5DA6"/>
    <w:rsid w:val="029105D0"/>
    <w:rsid w:val="029626D1"/>
    <w:rsid w:val="02B20C9A"/>
    <w:rsid w:val="02B76D6F"/>
    <w:rsid w:val="02CE1B85"/>
    <w:rsid w:val="02DA22C9"/>
    <w:rsid w:val="02EB070E"/>
    <w:rsid w:val="02F47D05"/>
    <w:rsid w:val="02FA082F"/>
    <w:rsid w:val="03120B70"/>
    <w:rsid w:val="031F0E2B"/>
    <w:rsid w:val="032E44C7"/>
    <w:rsid w:val="03622363"/>
    <w:rsid w:val="03644243"/>
    <w:rsid w:val="038434C9"/>
    <w:rsid w:val="039A4AFB"/>
    <w:rsid w:val="03C50289"/>
    <w:rsid w:val="03CC3FA5"/>
    <w:rsid w:val="03D8544B"/>
    <w:rsid w:val="03E24F0D"/>
    <w:rsid w:val="03E70DB3"/>
    <w:rsid w:val="03F37EA5"/>
    <w:rsid w:val="03F941A8"/>
    <w:rsid w:val="03FA3274"/>
    <w:rsid w:val="03FE1482"/>
    <w:rsid w:val="03FF2FBF"/>
    <w:rsid w:val="040030CF"/>
    <w:rsid w:val="040B2CF6"/>
    <w:rsid w:val="042E0A14"/>
    <w:rsid w:val="043D18BC"/>
    <w:rsid w:val="044B57EF"/>
    <w:rsid w:val="044C0703"/>
    <w:rsid w:val="046735F8"/>
    <w:rsid w:val="04682A17"/>
    <w:rsid w:val="046F77FB"/>
    <w:rsid w:val="047B4C8E"/>
    <w:rsid w:val="047F019F"/>
    <w:rsid w:val="047F0B0C"/>
    <w:rsid w:val="047F3631"/>
    <w:rsid w:val="049E2FB6"/>
    <w:rsid w:val="04AF4801"/>
    <w:rsid w:val="04B8779B"/>
    <w:rsid w:val="04BC0FEC"/>
    <w:rsid w:val="04C404B5"/>
    <w:rsid w:val="04CD069D"/>
    <w:rsid w:val="04D13C82"/>
    <w:rsid w:val="04EA2B3F"/>
    <w:rsid w:val="04EF59D1"/>
    <w:rsid w:val="050C0C8F"/>
    <w:rsid w:val="050D67D9"/>
    <w:rsid w:val="050E236F"/>
    <w:rsid w:val="05145FDB"/>
    <w:rsid w:val="051C00DD"/>
    <w:rsid w:val="05490568"/>
    <w:rsid w:val="0556567A"/>
    <w:rsid w:val="05670BDC"/>
    <w:rsid w:val="056944A2"/>
    <w:rsid w:val="056B402B"/>
    <w:rsid w:val="056D5A4B"/>
    <w:rsid w:val="05766F51"/>
    <w:rsid w:val="05B51F34"/>
    <w:rsid w:val="05B63ADC"/>
    <w:rsid w:val="05B969B3"/>
    <w:rsid w:val="05BF32E3"/>
    <w:rsid w:val="05C501A9"/>
    <w:rsid w:val="05C62704"/>
    <w:rsid w:val="05DC0A20"/>
    <w:rsid w:val="05FA24A8"/>
    <w:rsid w:val="060B57E8"/>
    <w:rsid w:val="060D1658"/>
    <w:rsid w:val="061522D0"/>
    <w:rsid w:val="06195A58"/>
    <w:rsid w:val="061E1135"/>
    <w:rsid w:val="06253FFB"/>
    <w:rsid w:val="06294CB0"/>
    <w:rsid w:val="062E77CC"/>
    <w:rsid w:val="062F3622"/>
    <w:rsid w:val="06321829"/>
    <w:rsid w:val="064D4F0C"/>
    <w:rsid w:val="06505B4F"/>
    <w:rsid w:val="065C6CFD"/>
    <w:rsid w:val="06610220"/>
    <w:rsid w:val="06613BC7"/>
    <w:rsid w:val="066652C1"/>
    <w:rsid w:val="066661FB"/>
    <w:rsid w:val="06682785"/>
    <w:rsid w:val="067609CA"/>
    <w:rsid w:val="06813F20"/>
    <w:rsid w:val="069468A4"/>
    <w:rsid w:val="06B85CB1"/>
    <w:rsid w:val="06C2041E"/>
    <w:rsid w:val="06C373FB"/>
    <w:rsid w:val="06C41534"/>
    <w:rsid w:val="06C901C6"/>
    <w:rsid w:val="06CF2587"/>
    <w:rsid w:val="06D624A9"/>
    <w:rsid w:val="06E213BE"/>
    <w:rsid w:val="06E75DDC"/>
    <w:rsid w:val="06E874A0"/>
    <w:rsid w:val="06F75A98"/>
    <w:rsid w:val="06F77C5C"/>
    <w:rsid w:val="06F84A18"/>
    <w:rsid w:val="06F91994"/>
    <w:rsid w:val="07053883"/>
    <w:rsid w:val="070857B2"/>
    <w:rsid w:val="07275FD5"/>
    <w:rsid w:val="074A7BF6"/>
    <w:rsid w:val="076E3C75"/>
    <w:rsid w:val="077C2F3E"/>
    <w:rsid w:val="077E3528"/>
    <w:rsid w:val="077E757F"/>
    <w:rsid w:val="078564E6"/>
    <w:rsid w:val="07907A7C"/>
    <w:rsid w:val="0791212F"/>
    <w:rsid w:val="07914CA8"/>
    <w:rsid w:val="07963FC8"/>
    <w:rsid w:val="07987194"/>
    <w:rsid w:val="079C558D"/>
    <w:rsid w:val="07A1260A"/>
    <w:rsid w:val="07A5753F"/>
    <w:rsid w:val="07A7570B"/>
    <w:rsid w:val="07A86BC0"/>
    <w:rsid w:val="07B375B1"/>
    <w:rsid w:val="07C93DFF"/>
    <w:rsid w:val="07CC6C08"/>
    <w:rsid w:val="07CF39A8"/>
    <w:rsid w:val="07DA371D"/>
    <w:rsid w:val="07E33854"/>
    <w:rsid w:val="07F34EFC"/>
    <w:rsid w:val="07F37DB7"/>
    <w:rsid w:val="07F74555"/>
    <w:rsid w:val="081662E1"/>
    <w:rsid w:val="081D7650"/>
    <w:rsid w:val="0834758E"/>
    <w:rsid w:val="08564D7A"/>
    <w:rsid w:val="086075AB"/>
    <w:rsid w:val="08716E9D"/>
    <w:rsid w:val="08760957"/>
    <w:rsid w:val="08831FE4"/>
    <w:rsid w:val="088F6915"/>
    <w:rsid w:val="089305EA"/>
    <w:rsid w:val="08947CF3"/>
    <w:rsid w:val="08A3442D"/>
    <w:rsid w:val="08A41151"/>
    <w:rsid w:val="08D25283"/>
    <w:rsid w:val="08E314A2"/>
    <w:rsid w:val="08E63620"/>
    <w:rsid w:val="08EC2CB0"/>
    <w:rsid w:val="08F16FBA"/>
    <w:rsid w:val="08F37A02"/>
    <w:rsid w:val="08FE51A1"/>
    <w:rsid w:val="0909178E"/>
    <w:rsid w:val="09256C4A"/>
    <w:rsid w:val="09277427"/>
    <w:rsid w:val="09366956"/>
    <w:rsid w:val="09394134"/>
    <w:rsid w:val="09394DFF"/>
    <w:rsid w:val="094D79CF"/>
    <w:rsid w:val="094E512E"/>
    <w:rsid w:val="096E224D"/>
    <w:rsid w:val="0972320A"/>
    <w:rsid w:val="098C0F2F"/>
    <w:rsid w:val="09B55A7D"/>
    <w:rsid w:val="09CC0691"/>
    <w:rsid w:val="09CD2EA4"/>
    <w:rsid w:val="09DF22A7"/>
    <w:rsid w:val="0A0A08D4"/>
    <w:rsid w:val="0A0A56B9"/>
    <w:rsid w:val="0A0F55BD"/>
    <w:rsid w:val="0A120A90"/>
    <w:rsid w:val="0A150ACE"/>
    <w:rsid w:val="0A22052E"/>
    <w:rsid w:val="0A263447"/>
    <w:rsid w:val="0A2978C1"/>
    <w:rsid w:val="0A2A79DC"/>
    <w:rsid w:val="0A3775C3"/>
    <w:rsid w:val="0A427DD4"/>
    <w:rsid w:val="0A4757E5"/>
    <w:rsid w:val="0A481E6C"/>
    <w:rsid w:val="0A4B08DB"/>
    <w:rsid w:val="0A4B6101"/>
    <w:rsid w:val="0A593AED"/>
    <w:rsid w:val="0A6413E8"/>
    <w:rsid w:val="0A70503F"/>
    <w:rsid w:val="0A8F0586"/>
    <w:rsid w:val="0AA3646B"/>
    <w:rsid w:val="0AA67CB9"/>
    <w:rsid w:val="0AAC5B9D"/>
    <w:rsid w:val="0ACE1B7A"/>
    <w:rsid w:val="0AD83203"/>
    <w:rsid w:val="0ADD0FD7"/>
    <w:rsid w:val="0AEF6257"/>
    <w:rsid w:val="0AF7350B"/>
    <w:rsid w:val="0B0A1E4D"/>
    <w:rsid w:val="0B0C442B"/>
    <w:rsid w:val="0B0C7CBE"/>
    <w:rsid w:val="0B172C94"/>
    <w:rsid w:val="0B183238"/>
    <w:rsid w:val="0B1C65EC"/>
    <w:rsid w:val="0B1F62F5"/>
    <w:rsid w:val="0B2A0E40"/>
    <w:rsid w:val="0B320737"/>
    <w:rsid w:val="0B3F2834"/>
    <w:rsid w:val="0B472C45"/>
    <w:rsid w:val="0B4A5AC9"/>
    <w:rsid w:val="0B4B7DDB"/>
    <w:rsid w:val="0B553400"/>
    <w:rsid w:val="0B602BA6"/>
    <w:rsid w:val="0B671DE2"/>
    <w:rsid w:val="0B71069A"/>
    <w:rsid w:val="0B724F34"/>
    <w:rsid w:val="0B7B039F"/>
    <w:rsid w:val="0B8A524B"/>
    <w:rsid w:val="0B8A7866"/>
    <w:rsid w:val="0BB93731"/>
    <w:rsid w:val="0BBB0906"/>
    <w:rsid w:val="0BBE4CFF"/>
    <w:rsid w:val="0BC8754C"/>
    <w:rsid w:val="0BD0267A"/>
    <w:rsid w:val="0BD13387"/>
    <w:rsid w:val="0BD437D5"/>
    <w:rsid w:val="0BEF70DB"/>
    <w:rsid w:val="0C0259D6"/>
    <w:rsid w:val="0C086302"/>
    <w:rsid w:val="0C14604F"/>
    <w:rsid w:val="0C14781D"/>
    <w:rsid w:val="0C2273F1"/>
    <w:rsid w:val="0C2C42C9"/>
    <w:rsid w:val="0C2F759E"/>
    <w:rsid w:val="0C345EE6"/>
    <w:rsid w:val="0C363C81"/>
    <w:rsid w:val="0C376A52"/>
    <w:rsid w:val="0C3F78BD"/>
    <w:rsid w:val="0C55263E"/>
    <w:rsid w:val="0C5C7CC1"/>
    <w:rsid w:val="0C666A81"/>
    <w:rsid w:val="0C7A644B"/>
    <w:rsid w:val="0C804F56"/>
    <w:rsid w:val="0C877047"/>
    <w:rsid w:val="0C91279F"/>
    <w:rsid w:val="0C934C9B"/>
    <w:rsid w:val="0CA70EFB"/>
    <w:rsid w:val="0CA76FA4"/>
    <w:rsid w:val="0CAE385B"/>
    <w:rsid w:val="0CC75492"/>
    <w:rsid w:val="0CC87B56"/>
    <w:rsid w:val="0CE05B5E"/>
    <w:rsid w:val="0CE559BF"/>
    <w:rsid w:val="0CE70445"/>
    <w:rsid w:val="0CF8553A"/>
    <w:rsid w:val="0D01122B"/>
    <w:rsid w:val="0D0C188A"/>
    <w:rsid w:val="0D0F5438"/>
    <w:rsid w:val="0D296DE3"/>
    <w:rsid w:val="0D29725D"/>
    <w:rsid w:val="0D386CEC"/>
    <w:rsid w:val="0D4044EA"/>
    <w:rsid w:val="0D504F8D"/>
    <w:rsid w:val="0D5E76E7"/>
    <w:rsid w:val="0D611B52"/>
    <w:rsid w:val="0D6E2248"/>
    <w:rsid w:val="0D8717FD"/>
    <w:rsid w:val="0D881FBD"/>
    <w:rsid w:val="0D8E4412"/>
    <w:rsid w:val="0D9C5D6F"/>
    <w:rsid w:val="0DAF6E65"/>
    <w:rsid w:val="0DB31912"/>
    <w:rsid w:val="0DBA74FE"/>
    <w:rsid w:val="0DBD4CB1"/>
    <w:rsid w:val="0DD82466"/>
    <w:rsid w:val="0DDA128B"/>
    <w:rsid w:val="0DEB4616"/>
    <w:rsid w:val="0DF04A68"/>
    <w:rsid w:val="0DF72FBD"/>
    <w:rsid w:val="0DF937EC"/>
    <w:rsid w:val="0E046C74"/>
    <w:rsid w:val="0E297CB4"/>
    <w:rsid w:val="0E3746E5"/>
    <w:rsid w:val="0E4814D4"/>
    <w:rsid w:val="0E820056"/>
    <w:rsid w:val="0E821E91"/>
    <w:rsid w:val="0E8D4754"/>
    <w:rsid w:val="0EA031ED"/>
    <w:rsid w:val="0EA3277B"/>
    <w:rsid w:val="0EA63D16"/>
    <w:rsid w:val="0EA82E8B"/>
    <w:rsid w:val="0EAF2AA1"/>
    <w:rsid w:val="0EBA3B6D"/>
    <w:rsid w:val="0EC0305B"/>
    <w:rsid w:val="0EC93824"/>
    <w:rsid w:val="0EC940EA"/>
    <w:rsid w:val="0ECD1BF9"/>
    <w:rsid w:val="0EE303C9"/>
    <w:rsid w:val="0EEF03F1"/>
    <w:rsid w:val="0EEF1AF7"/>
    <w:rsid w:val="0EF5771B"/>
    <w:rsid w:val="0F0F5004"/>
    <w:rsid w:val="0F150A42"/>
    <w:rsid w:val="0F274E5E"/>
    <w:rsid w:val="0F291F9D"/>
    <w:rsid w:val="0F2C3286"/>
    <w:rsid w:val="0F322F5B"/>
    <w:rsid w:val="0F3C1252"/>
    <w:rsid w:val="0F532FCC"/>
    <w:rsid w:val="0F5849DF"/>
    <w:rsid w:val="0F5F6EDC"/>
    <w:rsid w:val="0F651EF5"/>
    <w:rsid w:val="0F86619D"/>
    <w:rsid w:val="0F961CCE"/>
    <w:rsid w:val="0F97082B"/>
    <w:rsid w:val="0F9F45DB"/>
    <w:rsid w:val="0FA32E66"/>
    <w:rsid w:val="0FA738E2"/>
    <w:rsid w:val="0FA73BCD"/>
    <w:rsid w:val="0FB354FC"/>
    <w:rsid w:val="0FB82BBC"/>
    <w:rsid w:val="0FBE54C5"/>
    <w:rsid w:val="0FBF39ED"/>
    <w:rsid w:val="0FC3693C"/>
    <w:rsid w:val="0FC864B4"/>
    <w:rsid w:val="0FD96A03"/>
    <w:rsid w:val="0FE7260A"/>
    <w:rsid w:val="0FEF1BB8"/>
    <w:rsid w:val="10034DC1"/>
    <w:rsid w:val="10107606"/>
    <w:rsid w:val="101A2510"/>
    <w:rsid w:val="103A5D24"/>
    <w:rsid w:val="10467E0F"/>
    <w:rsid w:val="105109E4"/>
    <w:rsid w:val="105A065E"/>
    <w:rsid w:val="105C6A52"/>
    <w:rsid w:val="1065133F"/>
    <w:rsid w:val="10682D61"/>
    <w:rsid w:val="106854F4"/>
    <w:rsid w:val="106949B6"/>
    <w:rsid w:val="10872274"/>
    <w:rsid w:val="108B4D1B"/>
    <w:rsid w:val="108C3290"/>
    <w:rsid w:val="109A6E42"/>
    <w:rsid w:val="109C225C"/>
    <w:rsid w:val="10B17381"/>
    <w:rsid w:val="10BE2475"/>
    <w:rsid w:val="10D54286"/>
    <w:rsid w:val="10F72C0A"/>
    <w:rsid w:val="10F75982"/>
    <w:rsid w:val="11034887"/>
    <w:rsid w:val="110E79F6"/>
    <w:rsid w:val="112144A5"/>
    <w:rsid w:val="11256A5D"/>
    <w:rsid w:val="112F2BFA"/>
    <w:rsid w:val="1140032C"/>
    <w:rsid w:val="11465790"/>
    <w:rsid w:val="1148711D"/>
    <w:rsid w:val="114A472F"/>
    <w:rsid w:val="114C4A69"/>
    <w:rsid w:val="11686CB0"/>
    <w:rsid w:val="11691BD8"/>
    <w:rsid w:val="11707C46"/>
    <w:rsid w:val="11840CC9"/>
    <w:rsid w:val="11916802"/>
    <w:rsid w:val="11A8752B"/>
    <w:rsid w:val="11AA69C6"/>
    <w:rsid w:val="11AF064D"/>
    <w:rsid w:val="11B75427"/>
    <w:rsid w:val="11C80FB9"/>
    <w:rsid w:val="11CC4559"/>
    <w:rsid w:val="11CD7198"/>
    <w:rsid w:val="11E14C17"/>
    <w:rsid w:val="11E206A3"/>
    <w:rsid w:val="11F567B8"/>
    <w:rsid w:val="11FB2E27"/>
    <w:rsid w:val="120002D4"/>
    <w:rsid w:val="120B3D07"/>
    <w:rsid w:val="120E4F34"/>
    <w:rsid w:val="1225075E"/>
    <w:rsid w:val="123478B9"/>
    <w:rsid w:val="12365014"/>
    <w:rsid w:val="124850F7"/>
    <w:rsid w:val="124D47B3"/>
    <w:rsid w:val="124F0F9F"/>
    <w:rsid w:val="125E4D1C"/>
    <w:rsid w:val="12630024"/>
    <w:rsid w:val="12641A7A"/>
    <w:rsid w:val="126819FE"/>
    <w:rsid w:val="126E6705"/>
    <w:rsid w:val="1271575D"/>
    <w:rsid w:val="12826489"/>
    <w:rsid w:val="1289767B"/>
    <w:rsid w:val="129F60B5"/>
    <w:rsid w:val="12A74B49"/>
    <w:rsid w:val="12AE298A"/>
    <w:rsid w:val="12C06B14"/>
    <w:rsid w:val="12CD1380"/>
    <w:rsid w:val="12D96B0C"/>
    <w:rsid w:val="12E17784"/>
    <w:rsid w:val="12F809D3"/>
    <w:rsid w:val="12FE2782"/>
    <w:rsid w:val="13051AF0"/>
    <w:rsid w:val="130B524C"/>
    <w:rsid w:val="1310261B"/>
    <w:rsid w:val="13272F7A"/>
    <w:rsid w:val="13356C83"/>
    <w:rsid w:val="13510D35"/>
    <w:rsid w:val="135D3812"/>
    <w:rsid w:val="135F1508"/>
    <w:rsid w:val="13666D9F"/>
    <w:rsid w:val="1372198F"/>
    <w:rsid w:val="13737182"/>
    <w:rsid w:val="13883D82"/>
    <w:rsid w:val="138D4D76"/>
    <w:rsid w:val="13A61647"/>
    <w:rsid w:val="13AD0EAD"/>
    <w:rsid w:val="13BE0279"/>
    <w:rsid w:val="13C407C9"/>
    <w:rsid w:val="13C4099B"/>
    <w:rsid w:val="13D03886"/>
    <w:rsid w:val="13DF2212"/>
    <w:rsid w:val="13E35100"/>
    <w:rsid w:val="13E558A2"/>
    <w:rsid w:val="13F96773"/>
    <w:rsid w:val="13FC365D"/>
    <w:rsid w:val="14025AF6"/>
    <w:rsid w:val="140D0901"/>
    <w:rsid w:val="141C0DCF"/>
    <w:rsid w:val="142467C0"/>
    <w:rsid w:val="144548A9"/>
    <w:rsid w:val="145062BE"/>
    <w:rsid w:val="145406BB"/>
    <w:rsid w:val="14543A5E"/>
    <w:rsid w:val="14584F97"/>
    <w:rsid w:val="14693BA6"/>
    <w:rsid w:val="146C66CF"/>
    <w:rsid w:val="14814826"/>
    <w:rsid w:val="148A06AB"/>
    <w:rsid w:val="148E3DCA"/>
    <w:rsid w:val="14985C4C"/>
    <w:rsid w:val="149941A7"/>
    <w:rsid w:val="14AA2EBA"/>
    <w:rsid w:val="14C6405B"/>
    <w:rsid w:val="150712A2"/>
    <w:rsid w:val="150B55AF"/>
    <w:rsid w:val="15127546"/>
    <w:rsid w:val="15237771"/>
    <w:rsid w:val="154C266A"/>
    <w:rsid w:val="154F16D2"/>
    <w:rsid w:val="15585CD3"/>
    <w:rsid w:val="156053D9"/>
    <w:rsid w:val="156216BA"/>
    <w:rsid w:val="15682E2B"/>
    <w:rsid w:val="15716CC5"/>
    <w:rsid w:val="157F77E5"/>
    <w:rsid w:val="15810BB7"/>
    <w:rsid w:val="158F1BFB"/>
    <w:rsid w:val="15AE2033"/>
    <w:rsid w:val="15BD216B"/>
    <w:rsid w:val="15C138F3"/>
    <w:rsid w:val="15D33DE7"/>
    <w:rsid w:val="15D45D7C"/>
    <w:rsid w:val="15D73E0F"/>
    <w:rsid w:val="16092E0B"/>
    <w:rsid w:val="161E1E16"/>
    <w:rsid w:val="16293781"/>
    <w:rsid w:val="162968AC"/>
    <w:rsid w:val="162D5E38"/>
    <w:rsid w:val="16405EF7"/>
    <w:rsid w:val="164262C1"/>
    <w:rsid w:val="16437554"/>
    <w:rsid w:val="164C117E"/>
    <w:rsid w:val="164E61FB"/>
    <w:rsid w:val="164E7AFA"/>
    <w:rsid w:val="16617E54"/>
    <w:rsid w:val="16651CC9"/>
    <w:rsid w:val="167F5281"/>
    <w:rsid w:val="16A26B83"/>
    <w:rsid w:val="16B168CB"/>
    <w:rsid w:val="16B55648"/>
    <w:rsid w:val="16B73F4F"/>
    <w:rsid w:val="16C53D60"/>
    <w:rsid w:val="16CE1290"/>
    <w:rsid w:val="16D579C3"/>
    <w:rsid w:val="16D65B82"/>
    <w:rsid w:val="16E83D0F"/>
    <w:rsid w:val="16EC5272"/>
    <w:rsid w:val="16EE2F79"/>
    <w:rsid w:val="17083CF6"/>
    <w:rsid w:val="17147EFE"/>
    <w:rsid w:val="17170465"/>
    <w:rsid w:val="17173695"/>
    <w:rsid w:val="171E10AD"/>
    <w:rsid w:val="17213596"/>
    <w:rsid w:val="1723341E"/>
    <w:rsid w:val="17371BC8"/>
    <w:rsid w:val="173C2D6C"/>
    <w:rsid w:val="173C7946"/>
    <w:rsid w:val="173F122D"/>
    <w:rsid w:val="174F2CC4"/>
    <w:rsid w:val="175C4D41"/>
    <w:rsid w:val="177158CC"/>
    <w:rsid w:val="179B4973"/>
    <w:rsid w:val="17A62C54"/>
    <w:rsid w:val="17BE16DC"/>
    <w:rsid w:val="17C0574B"/>
    <w:rsid w:val="17C36FE9"/>
    <w:rsid w:val="17C86D05"/>
    <w:rsid w:val="17F35B20"/>
    <w:rsid w:val="180C2EE7"/>
    <w:rsid w:val="180F15B7"/>
    <w:rsid w:val="183E6574"/>
    <w:rsid w:val="185F1F32"/>
    <w:rsid w:val="18653EFB"/>
    <w:rsid w:val="18720945"/>
    <w:rsid w:val="18726510"/>
    <w:rsid w:val="18881CB4"/>
    <w:rsid w:val="188E3C2D"/>
    <w:rsid w:val="1891577F"/>
    <w:rsid w:val="189A445D"/>
    <w:rsid w:val="189C63DB"/>
    <w:rsid w:val="18A23164"/>
    <w:rsid w:val="18A65CA4"/>
    <w:rsid w:val="18B057C0"/>
    <w:rsid w:val="18B61EEB"/>
    <w:rsid w:val="18BA1D7D"/>
    <w:rsid w:val="18C04D27"/>
    <w:rsid w:val="18C81E6B"/>
    <w:rsid w:val="18CF1610"/>
    <w:rsid w:val="18CF4AC4"/>
    <w:rsid w:val="18D54384"/>
    <w:rsid w:val="18E50310"/>
    <w:rsid w:val="18EC57E2"/>
    <w:rsid w:val="18F20AFB"/>
    <w:rsid w:val="18FD51E2"/>
    <w:rsid w:val="19047C5B"/>
    <w:rsid w:val="19102702"/>
    <w:rsid w:val="191B3081"/>
    <w:rsid w:val="192B246C"/>
    <w:rsid w:val="192D5062"/>
    <w:rsid w:val="193308D1"/>
    <w:rsid w:val="193364D7"/>
    <w:rsid w:val="19354D41"/>
    <w:rsid w:val="19383276"/>
    <w:rsid w:val="193D3C08"/>
    <w:rsid w:val="19465B85"/>
    <w:rsid w:val="19514FA7"/>
    <w:rsid w:val="19530509"/>
    <w:rsid w:val="19556FD1"/>
    <w:rsid w:val="19565B21"/>
    <w:rsid w:val="195B67D0"/>
    <w:rsid w:val="196E7061"/>
    <w:rsid w:val="19783399"/>
    <w:rsid w:val="197A5200"/>
    <w:rsid w:val="19832ED4"/>
    <w:rsid w:val="1986763E"/>
    <w:rsid w:val="198C493C"/>
    <w:rsid w:val="199302EE"/>
    <w:rsid w:val="19935CDA"/>
    <w:rsid w:val="199450E1"/>
    <w:rsid w:val="199E4C13"/>
    <w:rsid w:val="19C555F4"/>
    <w:rsid w:val="19CA10B0"/>
    <w:rsid w:val="19D479B1"/>
    <w:rsid w:val="19D871FC"/>
    <w:rsid w:val="19D90D82"/>
    <w:rsid w:val="19E44DA8"/>
    <w:rsid w:val="19EF0DA4"/>
    <w:rsid w:val="19F82CEA"/>
    <w:rsid w:val="19F83300"/>
    <w:rsid w:val="19FC45C1"/>
    <w:rsid w:val="1A013E26"/>
    <w:rsid w:val="1A01531B"/>
    <w:rsid w:val="1A0A4C6F"/>
    <w:rsid w:val="1A146AFB"/>
    <w:rsid w:val="1A167A73"/>
    <w:rsid w:val="1A1B71D7"/>
    <w:rsid w:val="1A2F0D7C"/>
    <w:rsid w:val="1A3F6C39"/>
    <w:rsid w:val="1A441B18"/>
    <w:rsid w:val="1A441F63"/>
    <w:rsid w:val="1A543B91"/>
    <w:rsid w:val="1A5617AE"/>
    <w:rsid w:val="1A5B314C"/>
    <w:rsid w:val="1A6125F2"/>
    <w:rsid w:val="1A63665D"/>
    <w:rsid w:val="1A8233A5"/>
    <w:rsid w:val="1A89066F"/>
    <w:rsid w:val="1A8D3E53"/>
    <w:rsid w:val="1A932C6F"/>
    <w:rsid w:val="1A9A78E6"/>
    <w:rsid w:val="1A9D03C0"/>
    <w:rsid w:val="1AA07998"/>
    <w:rsid w:val="1AA7739A"/>
    <w:rsid w:val="1AA915A7"/>
    <w:rsid w:val="1ABC3B6D"/>
    <w:rsid w:val="1AE75CC4"/>
    <w:rsid w:val="1AFB0020"/>
    <w:rsid w:val="1AFB749D"/>
    <w:rsid w:val="1B020733"/>
    <w:rsid w:val="1B151036"/>
    <w:rsid w:val="1B200468"/>
    <w:rsid w:val="1B351F7A"/>
    <w:rsid w:val="1B3863DF"/>
    <w:rsid w:val="1B4C0D69"/>
    <w:rsid w:val="1B5110B3"/>
    <w:rsid w:val="1B5B7458"/>
    <w:rsid w:val="1B5C3CD8"/>
    <w:rsid w:val="1B721452"/>
    <w:rsid w:val="1B730FBA"/>
    <w:rsid w:val="1B854CE1"/>
    <w:rsid w:val="1B861FC4"/>
    <w:rsid w:val="1B8A15CD"/>
    <w:rsid w:val="1B92166F"/>
    <w:rsid w:val="1BC23D87"/>
    <w:rsid w:val="1BC41E8D"/>
    <w:rsid w:val="1BD729CF"/>
    <w:rsid w:val="1BDC0F1D"/>
    <w:rsid w:val="1BE07C46"/>
    <w:rsid w:val="1BE465A3"/>
    <w:rsid w:val="1BE660DB"/>
    <w:rsid w:val="1C122EBF"/>
    <w:rsid w:val="1C155D54"/>
    <w:rsid w:val="1C1B7408"/>
    <w:rsid w:val="1C1D5E4D"/>
    <w:rsid w:val="1C2B4F24"/>
    <w:rsid w:val="1C4728A5"/>
    <w:rsid w:val="1C4F703E"/>
    <w:rsid w:val="1C6F79AD"/>
    <w:rsid w:val="1C7C28FE"/>
    <w:rsid w:val="1C89674D"/>
    <w:rsid w:val="1C9E2CAC"/>
    <w:rsid w:val="1CA24B83"/>
    <w:rsid w:val="1CA25785"/>
    <w:rsid w:val="1CA975CF"/>
    <w:rsid w:val="1CB81B8B"/>
    <w:rsid w:val="1CBF1719"/>
    <w:rsid w:val="1CD50946"/>
    <w:rsid w:val="1CD53CB6"/>
    <w:rsid w:val="1CDA4ACD"/>
    <w:rsid w:val="1CEC1F81"/>
    <w:rsid w:val="1D1F5764"/>
    <w:rsid w:val="1D20603C"/>
    <w:rsid w:val="1D323E43"/>
    <w:rsid w:val="1D345826"/>
    <w:rsid w:val="1D6B03E8"/>
    <w:rsid w:val="1D6C7C52"/>
    <w:rsid w:val="1D7806E8"/>
    <w:rsid w:val="1D786AD1"/>
    <w:rsid w:val="1D7D03C5"/>
    <w:rsid w:val="1D8009CF"/>
    <w:rsid w:val="1D896015"/>
    <w:rsid w:val="1D9474D1"/>
    <w:rsid w:val="1DB765A6"/>
    <w:rsid w:val="1DC03242"/>
    <w:rsid w:val="1DCA7B9C"/>
    <w:rsid w:val="1DCE2818"/>
    <w:rsid w:val="1DD66728"/>
    <w:rsid w:val="1DDA37AA"/>
    <w:rsid w:val="1DDB45C2"/>
    <w:rsid w:val="1DE422F7"/>
    <w:rsid w:val="1DE71D9C"/>
    <w:rsid w:val="1E0C3054"/>
    <w:rsid w:val="1E113FF4"/>
    <w:rsid w:val="1E1E6C36"/>
    <w:rsid w:val="1E201AE4"/>
    <w:rsid w:val="1E27054B"/>
    <w:rsid w:val="1E3566EF"/>
    <w:rsid w:val="1E585851"/>
    <w:rsid w:val="1E614F5E"/>
    <w:rsid w:val="1E6A0646"/>
    <w:rsid w:val="1E755A64"/>
    <w:rsid w:val="1E7A2AF8"/>
    <w:rsid w:val="1E7F4C6A"/>
    <w:rsid w:val="1E8A46AA"/>
    <w:rsid w:val="1E8B33E4"/>
    <w:rsid w:val="1E964B22"/>
    <w:rsid w:val="1E985748"/>
    <w:rsid w:val="1E9C38E5"/>
    <w:rsid w:val="1EA3650A"/>
    <w:rsid w:val="1EA81771"/>
    <w:rsid w:val="1EA9518B"/>
    <w:rsid w:val="1EAB55AA"/>
    <w:rsid w:val="1EB316AA"/>
    <w:rsid w:val="1ECD6798"/>
    <w:rsid w:val="1ED542CB"/>
    <w:rsid w:val="1EE2508D"/>
    <w:rsid w:val="1EFD2C1C"/>
    <w:rsid w:val="1F0105B5"/>
    <w:rsid w:val="1F074C09"/>
    <w:rsid w:val="1F1172AC"/>
    <w:rsid w:val="1F22514C"/>
    <w:rsid w:val="1F2A5406"/>
    <w:rsid w:val="1F32241A"/>
    <w:rsid w:val="1F3429E4"/>
    <w:rsid w:val="1F3C36BC"/>
    <w:rsid w:val="1F424860"/>
    <w:rsid w:val="1F4769C7"/>
    <w:rsid w:val="1F4E43E0"/>
    <w:rsid w:val="1F96022A"/>
    <w:rsid w:val="1F983C12"/>
    <w:rsid w:val="1FA6791C"/>
    <w:rsid w:val="1FA726C4"/>
    <w:rsid w:val="1FAF2BA0"/>
    <w:rsid w:val="1FD9140F"/>
    <w:rsid w:val="1FE21FDD"/>
    <w:rsid w:val="1FE673A2"/>
    <w:rsid w:val="1FEA66A3"/>
    <w:rsid w:val="1FEC65AF"/>
    <w:rsid w:val="20003F00"/>
    <w:rsid w:val="200D0260"/>
    <w:rsid w:val="200F6363"/>
    <w:rsid w:val="201B735F"/>
    <w:rsid w:val="201C2597"/>
    <w:rsid w:val="20287777"/>
    <w:rsid w:val="202C43A0"/>
    <w:rsid w:val="20362166"/>
    <w:rsid w:val="20487AEE"/>
    <w:rsid w:val="20513A3C"/>
    <w:rsid w:val="205C29FA"/>
    <w:rsid w:val="205D2162"/>
    <w:rsid w:val="206E0C88"/>
    <w:rsid w:val="209A3718"/>
    <w:rsid w:val="209C5B5A"/>
    <w:rsid w:val="209E40FF"/>
    <w:rsid w:val="20C46B00"/>
    <w:rsid w:val="20C52A02"/>
    <w:rsid w:val="20D36237"/>
    <w:rsid w:val="20F81C87"/>
    <w:rsid w:val="20F97957"/>
    <w:rsid w:val="20FA58EE"/>
    <w:rsid w:val="2103015E"/>
    <w:rsid w:val="211D4B0E"/>
    <w:rsid w:val="213B4094"/>
    <w:rsid w:val="214D4E6C"/>
    <w:rsid w:val="215320F3"/>
    <w:rsid w:val="21627873"/>
    <w:rsid w:val="216C1BC5"/>
    <w:rsid w:val="219914E7"/>
    <w:rsid w:val="21A01E72"/>
    <w:rsid w:val="21A539A5"/>
    <w:rsid w:val="21BF6370"/>
    <w:rsid w:val="21C27D71"/>
    <w:rsid w:val="21CB5418"/>
    <w:rsid w:val="21D135A3"/>
    <w:rsid w:val="21D61CDB"/>
    <w:rsid w:val="21DE51C9"/>
    <w:rsid w:val="21E8152C"/>
    <w:rsid w:val="21E84BC1"/>
    <w:rsid w:val="21ED1832"/>
    <w:rsid w:val="21F254C0"/>
    <w:rsid w:val="21F53216"/>
    <w:rsid w:val="21F629AE"/>
    <w:rsid w:val="221237FB"/>
    <w:rsid w:val="22157549"/>
    <w:rsid w:val="22384D9E"/>
    <w:rsid w:val="223961BB"/>
    <w:rsid w:val="223F55D0"/>
    <w:rsid w:val="22423423"/>
    <w:rsid w:val="224616BF"/>
    <w:rsid w:val="22463475"/>
    <w:rsid w:val="22464D78"/>
    <w:rsid w:val="2248360A"/>
    <w:rsid w:val="224A7372"/>
    <w:rsid w:val="224B72C0"/>
    <w:rsid w:val="224D3DE7"/>
    <w:rsid w:val="225853AF"/>
    <w:rsid w:val="2264171D"/>
    <w:rsid w:val="226A60D7"/>
    <w:rsid w:val="22801AB1"/>
    <w:rsid w:val="228147F9"/>
    <w:rsid w:val="22927225"/>
    <w:rsid w:val="22996AC6"/>
    <w:rsid w:val="22A9206B"/>
    <w:rsid w:val="22B6619A"/>
    <w:rsid w:val="22B75B50"/>
    <w:rsid w:val="22BD2D0D"/>
    <w:rsid w:val="22C32593"/>
    <w:rsid w:val="22C7293A"/>
    <w:rsid w:val="22CC2A26"/>
    <w:rsid w:val="22CD3B55"/>
    <w:rsid w:val="22CD7181"/>
    <w:rsid w:val="22D00DD8"/>
    <w:rsid w:val="22D16758"/>
    <w:rsid w:val="22D2707A"/>
    <w:rsid w:val="22D909D3"/>
    <w:rsid w:val="22E67C42"/>
    <w:rsid w:val="22E91FFA"/>
    <w:rsid w:val="22E94841"/>
    <w:rsid w:val="22EC53FC"/>
    <w:rsid w:val="22F240AB"/>
    <w:rsid w:val="22FD1184"/>
    <w:rsid w:val="22FF367E"/>
    <w:rsid w:val="230936A9"/>
    <w:rsid w:val="23101F2E"/>
    <w:rsid w:val="231337FF"/>
    <w:rsid w:val="231C73B4"/>
    <w:rsid w:val="232A7F7E"/>
    <w:rsid w:val="232B2612"/>
    <w:rsid w:val="23350A38"/>
    <w:rsid w:val="23361412"/>
    <w:rsid w:val="23447F6D"/>
    <w:rsid w:val="234655E9"/>
    <w:rsid w:val="23476D20"/>
    <w:rsid w:val="23526931"/>
    <w:rsid w:val="236F21C0"/>
    <w:rsid w:val="237A36E0"/>
    <w:rsid w:val="237D0148"/>
    <w:rsid w:val="23854AFC"/>
    <w:rsid w:val="23981364"/>
    <w:rsid w:val="23A71858"/>
    <w:rsid w:val="23AF2E12"/>
    <w:rsid w:val="23B10B00"/>
    <w:rsid w:val="23CE702F"/>
    <w:rsid w:val="23CE7505"/>
    <w:rsid w:val="23D670F1"/>
    <w:rsid w:val="23E9373D"/>
    <w:rsid w:val="23EA6275"/>
    <w:rsid w:val="23EA7843"/>
    <w:rsid w:val="240D3AC6"/>
    <w:rsid w:val="2434488F"/>
    <w:rsid w:val="24372E15"/>
    <w:rsid w:val="243C07EF"/>
    <w:rsid w:val="243C50C4"/>
    <w:rsid w:val="24407957"/>
    <w:rsid w:val="244138C4"/>
    <w:rsid w:val="24425C82"/>
    <w:rsid w:val="244E0FB2"/>
    <w:rsid w:val="24523E6B"/>
    <w:rsid w:val="245E6479"/>
    <w:rsid w:val="248435BC"/>
    <w:rsid w:val="24920B19"/>
    <w:rsid w:val="24956D61"/>
    <w:rsid w:val="24D94A47"/>
    <w:rsid w:val="24E73701"/>
    <w:rsid w:val="24EB2CD2"/>
    <w:rsid w:val="24F03545"/>
    <w:rsid w:val="24F15593"/>
    <w:rsid w:val="24FE1255"/>
    <w:rsid w:val="25047562"/>
    <w:rsid w:val="250A7F60"/>
    <w:rsid w:val="250C0222"/>
    <w:rsid w:val="250F69F1"/>
    <w:rsid w:val="25190627"/>
    <w:rsid w:val="253661D4"/>
    <w:rsid w:val="254231BE"/>
    <w:rsid w:val="25460CF9"/>
    <w:rsid w:val="255F47F5"/>
    <w:rsid w:val="255F5235"/>
    <w:rsid w:val="25726B45"/>
    <w:rsid w:val="257A57B5"/>
    <w:rsid w:val="2589162E"/>
    <w:rsid w:val="258C2C77"/>
    <w:rsid w:val="25915BD8"/>
    <w:rsid w:val="25952570"/>
    <w:rsid w:val="259C7C27"/>
    <w:rsid w:val="25A51CCF"/>
    <w:rsid w:val="25A742AA"/>
    <w:rsid w:val="25A920B4"/>
    <w:rsid w:val="25BB3B94"/>
    <w:rsid w:val="25C00206"/>
    <w:rsid w:val="25E60285"/>
    <w:rsid w:val="25E633D7"/>
    <w:rsid w:val="25EE45FD"/>
    <w:rsid w:val="25F612C0"/>
    <w:rsid w:val="26013250"/>
    <w:rsid w:val="26026C80"/>
    <w:rsid w:val="260C5268"/>
    <w:rsid w:val="26300688"/>
    <w:rsid w:val="263A2BE3"/>
    <w:rsid w:val="26426DD4"/>
    <w:rsid w:val="26500DC0"/>
    <w:rsid w:val="265718CC"/>
    <w:rsid w:val="26666271"/>
    <w:rsid w:val="267C53DA"/>
    <w:rsid w:val="268259B2"/>
    <w:rsid w:val="268338B6"/>
    <w:rsid w:val="268A14AC"/>
    <w:rsid w:val="269362E3"/>
    <w:rsid w:val="26A5448A"/>
    <w:rsid w:val="26AC6AD0"/>
    <w:rsid w:val="26C363B3"/>
    <w:rsid w:val="26F50BDB"/>
    <w:rsid w:val="26F91001"/>
    <w:rsid w:val="27130ACE"/>
    <w:rsid w:val="272677BC"/>
    <w:rsid w:val="27283C0A"/>
    <w:rsid w:val="27294289"/>
    <w:rsid w:val="272D723C"/>
    <w:rsid w:val="27365BBD"/>
    <w:rsid w:val="27381365"/>
    <w:rsid w:val="273B6E85"/>
    <w:rsid w:val="273D098C"/>
    <w:rsid w:val="274029CA"/>
    <w:rsid w:val="274953D9"/>
    <w:rsid w:val="2750794F"/>
    <w:rsid w:val="275C55BF"/>
    <w:rsid w:val="276E1C18"/>
    <w:rsid w:val="27726551"/>
    <w:rsid w:val="277A5F82"/>
    <w:rsid w:val="278E13C2"/>
    <w:rsid w:val="27B83B5E"/>
    <w:rsid w:val="27C70430"/>
    <w:rsid w:val="27CB6037"/>
    <w:rsid w:val="27D20919"/>
    <w:rsid w:val="27DC1D02"/>
    <w:rsid w:val="27E31ACD"/>
    <w:rsid w:val="27EF2E91"/>
    <w:rsid w:val="27F10606"/>
    <w:rsid w:val="2817062E"/>
    <w:rsid w:val="28190C37"/>
    <w:rsid w:val="282A72D4"/>
    <w:rsid w:val="283E697F"/>
    <w:rsid w:val="28415C35"/>
    <w:rsid w:val="285939A0"/>
    <w:rsid w:val="285C01E4"/>
    <w:rsid w:val="285F5E42"/>
    <w:rsid w:val="28640DDD"/>
    <w:rsid w:val="28672C1E"/>
    <w:rsid w:val="287445E5"/>
    <w:rsid w:val="287E7B50"/>
    <w:rsid w:val="28841CCC"/>
    <w:rsid w:val="288527C5"/>
    <w:rsid w:val="288D3879"/>
    <w:rsid w:val="28925E9C"/>
    <w:rsid w:val="28936E10"/>
    <w:rsid w:val="28970403"/>
    <w:rsid w:val="28AA11B7"/>
    <w:rsid w:val="28AE0412"/>
    <w:rsid w:val="28B50B6A"/>
    <w:rsid w:val="28CC2809"/>
    <w:rsid w:val="28DD37F9"/>
    <w:rsid w:val="28FE2638"/>
    <w:rsid w:val="29024666"/>
    <w:rsid w:val="291120B3"/>
    <w:rsid w:val="29133087"/>
    <w:rsid w:val="29184623"/>
    <w:rsid w:val="291B2276"/>
    <w:rsid w:val="29215C3E"/>
    <w:rsid w:val="292A740A"/>
    <w:rsid w:val="29361EFE"/>
    <w:rsid w:val="294A4A32"/>
    <w:rsid w:val="295D6C8D"/>
    <w:rsid w:val="295F5CB6"/>
    <w:rsid w:val="29662D3F"/>
    <w:rsid w:val="29671C51"/>
    <w:rsid w:val="29706DC9"/>
    <w:rsid w:val="2976035F"/>
    <w:rsid w:val="29806A9C"/>
    <w:rsid w:val="298F16C2"/>
    <w:rsid w:val="299834A6"/>
    <w:rsid w:val="29A814C5"/>
    <w:rsid w:val="29D72731"/>
    <w:rsid w:val="29DE6035"/>
    <w:rsid w:val="29E5333C"/>
    <w:rsid w:val="29E84DD3"/>
    <w:rsid w:val="29ED66B9"/>
    <w:rsid w:val="29EE44E0"/>
    <w:rsid w:val="29F319B0"/>
    <w:rsid w:val="29FD77D4"/>
    <w:rsid w:val="2A007439"/>
    <w:rsid w:val="2A0A1487"/>
    <w:rsid w:val="2A1A15CE"/>
    <w:rsid w:val="2A1F5A9F"/>
    <w:rsid w:val="2A2361E0"/>
    <w:rsid w:val="2A263200"/>
    <w:rsid w:val="2A27688E"/>
    <w:rsid w:val="2A2F0351"/>
    <w:rsid w:val="2A301C46"/>
    <w:rsid w:val="2A7C0ECC"/>
    <w:rsid w:val="2A912EF5"/>
    <w:rsid w:val="2A9B2140"/>
    <w:rsid w:val="2AAF30C4"/>
    <w:rsid w:val="2AB17355"/>
    <w:rsid w:val="2ABB0DF3"/>
    <w:rsid w:val="2ABE44D3"/>
    <w:rsid w:val="2AC70190"/>
    <w:rsid w:val="2ACD779E"/>
    <w:rsid w:val="2ADB0919"/>
    <w:rsid w:val="2AE50552"/>
    <w:rsid w:val="2AE609AE"/>
    <w:rsid w:val="2AEA4971"/>
    <w:rsid w:val="2AF145C3"/>
    <w:rsid w:val="2AFE125D"/>
    <w:rsid w:val="2B0100FD"/>
    <w:rsid w:val="2B1674E5"/>
    <w:rsid w:val="2B1B4127"/>
    <w:rsid w:val="2B2D2C6E"/>
    <w:rsid w:val="2B4735F7"/>
    <w:rsid w:val="2B494D28"/>
    <w:rsid w:val="2B620743"/>
    <w:rsid w:val="2B760E14"/>
    <w:rsid w:val="2B7905C4"/>
    <w:rsid w:val="2B7B7DA5"/>
    <w:rsid w:val="2B8B2D9D"/>
    <w:rsid w:val="2B8C6632"/>
    <w:rsid w:val="2B8C71D0"/>
    <w:rsid w:val="2BA5776D"/>
    <w:rsid w:val="2BA61383"/>
    <w:rsid w:val="2BD47DFD"/>
    <w:rsid w:val="2BD66439"/>
    <w:rsid w:val="2BDB27BE"/>
    <w:rsid w:val="2BE152B9"/>
    <w:rsid w:val="2BF74C87"/>
    <w:rsid w:val="2C082F54"/>
    <w:rsid w:val="2C0A4D8F"/>
    <w:rsid w:val="2C0E0D23"/>
    <w:rsid w:val="2C183B08"/>
    <w:rsid w:val="2C2B420A"/>
    <w:rsid w:val="2C335A95"/>
    <w:rsid w:val="2C361043"/>
    <w:rsid w:val="2C385980"/>
    <w:rsid w:val="2C410F70"/>
    <w:rsid w:val="2C4A2ACB"/>
    <w:rsid w:val="2C526E62"/>
    <w:rsid w:val="2C5746C9"/>
    <w:rsid w:val="2C633E88"/>
    <w:rsid w:val="2C6C21CC"/>
    <w:rsid w:val="2C6C31C0"/>
    <w:rsid w:val="2C8D5247"/>
    <w:rsid w:val="2CA27890"/>
    <w:rsid w:val="2CD36631"/>
    <w:rsid w:val="2CD413B1"/>
    <w:rsid w:val="2CD836F5"/>
    <w:rsid w:val="2CDF7AEC"/>
    <w:rsid w:val="2CE268D4"/>
    <w:rsid w:val="2CE629A3"/>
    <w:rsid w:val="2CE6307D"/>
    <w:rsid w:val="2CFD2773"/>
    <w:rsid w:val="2D07785C"/>
    <w:rsid w:val="2D0D31CA"/>
    <w:rsid w:val="2D1648BC"/>
    <w:rsid w:val="2D2E17A1"/>
    <w:rsid w:val="2D302386"/>
    <w:rsid w:val="2D3505E2"/>
    <w:rsid w:val="2D37677A"/>
    <w:rsid w:val="2D386FD2"/>
    <w:rsid w:val="2D3D1758"/>
    <w:rsid w:val="2D3F7EF7"/>
    <w:rsid w:val="2D4164B4"/>
    <w:rsid w:val="2D4E2851"/>
    <w:rsid w:val="2D502BAC"/>
    <w:rsid w:val="2D5D67C7"/>
    <w:rsid w:val="2D626812"/>
    <w:rsid w:val="2D697037"/>
    <w:rsid w:val="2D6B46F9"/>
    <w:rsid w:val="2D727875"/>
    <w:rsid w:val="2D7526AA"/>
    <w:rsid w:val="2D7A3E58"/>
    <w:rsid w:val="2D7B4BF1"/>
    <w:rsid w:val="2D907BEE"/>
    <w:rsid w:val="2D962520"/>
    <w:rsid w:val="2D9D1F27"/>
    <w:rsid w:val="2DAE7161"/>
    <w:rsid w:val="2DB04A93"/>
    <w:rsid w:val="2DBB4593"/>
    <w:rsid w:val="2DBB6F83"/>
    <w:rsid w:val="2DD06EFD"/>
    <w:rsid w:val="2DDB7535"/>
    <w:rsid w:val="2DE105AF"/>
    <w:rsid w:val="2DE55AB4"/>
    <w:rsid w:val="2DE71A16"/>
    <w:rsid w:val="2DEF4371"/>
    <w:rsid w:val="2DF857E7"/>
    <w:rsid w:val="2DFE0C18"/>
    <w:rsid w:val="2E096771"/>
    <w:rsid w:val="2E105BDC"/>
    <w:rsid w:val="2E110657"/>
    <w:rsid w:val="2E3A108B"/>
    <w:rsid w:val="2E422F06"/>
    <w:rsid w:val="2E5670D0"/>
    <w:rsid w:val="2E5E2AFC"/>
    <w:rsid w:val="2E633EB6"/>
    <w:rsid w:val="2E654070"/>
    <w:rsid w:val="2E68639B"/>
    <w:rsid w:val="2E6E3215"/>
    <w:rsid w:val="2E793111"/>
    <w:rsid w:val="2E832FE3"/>
    <w:rsid w:val="2E8D5C99"/>
    <w:rsid w:val="2E8D5E2B"/>
    <w:rsid w:val="2E953036"/>
    <w:rsid w:val="2E974C20"/>
    <w:rsid w:val="2E9E012E"/>
    <w:rsid w:val="2EA241A8"/>
    <w:rsid w:val="2EA878B4"/>
    <w:rsid w:val="2ED72E29"/>
    <w:rsid w:val="2EDD5109"/>
    <w:rsid w:val="2EE1504A"/>
    <w:rsid w:val="2EE32100"/>
    <w:rsid w:val="2EE713B8"/>
    <w:rsid w:val="2EEA7478"/>
    <w:rsid w:val="2F1E10A7"/>
    <w:rsid w:val="2F25260C"/>
    <w:rsid w:val="2F2B5E57"/>
    <w:rsid w:val="2F2E7A9C"/>
    <w:rsid w:val="2F3204BB"/>
    <w:rsid w:val="2F3A5294"/>
    <w:rsid w:val="2F4B0DA5"/>
    <w:rsid w:val="2F5A7DDB"/>
    <w:rsid w:val="2F65767F"/>
    <w:rsid w:val="2F8E7AFE"/>
    <w:rsid w:val="2F8F5372"/>
    <w:rsid w:val="2F904A8B"/>
    <w:rsid w:val="2F992159"/>
    <w:rsid w:val="2FAC4547"/>
    <w:rsid w:val="2FCC6ADC"/>
    <w:rsid w:val="2FD56C51"/>
    <w:rsid w:val="2FD61EC4"/>
    <w:rsid w:val="2FDD7A81"/>
    <w:rsid w:val="2FE34C37"/>
    <w:rsid w:val="2FE7202C"/>
    <w:rsid w:val="2FF742A1"/>
    <w:rsid w:val="30132955"/>
    <w:rsid w:val="30142680"/>
    <w:rsid w:val="302A453E"/>
    <w:rsid w:val="30481513"/>
    <w:rsid w:val="304B504C"/>
    <w:rsid w:val="305667F5"/>
    <w:rsid w:val="305827E0"/>
    <w:rsid w:val="30A57328"/>
    <w:rsid w:val="30AC28B9"/>
    <w:rsid w:val="30AD0929"/>
    <w:rsid w:val="30B36158"/>
    <w:rsid w:val="30BD5B04"/>
    <w:rsid w:val="30CD67C6"/>
    <w:rsid w:val="30D140CD"/>
    <w:rsid w:val="30F502F1"/>
    <w:rsid w:val="310865CC"/>
    <w:rsid w:val="310C54B7"/>
    <w:rsid w:val="311143C8"/>
    <w:rsid w:val="31196F5D"/>
    <w:rsid w:val="31237BC2"/>
    <w:rsid w:val="313B4EF9"/>
    <w:rsid w:val="313D2178"/>
    <w:rsid w:val="313E6208"/>
    <w:rsid w:val="315157EB"/>
    <w:rsid w:val="316267D4"/>
    <w:rsid w:val="316D0B31"/>
    <w:rsid w:val="316F0E5B"/>
    <w:rsid w:val="317613FF"/>
    <w:rsid w:val="31763D43"/>
    <w:rsid w:val="317D017E"/>
    <w:rsid w:val="31826C49"/>
    <w:rsid w:val="318305DF"/>
    <w:rsid w:val="318F0264"/>
    <w:rsid w:val="31A16C2A"/>
    <w:rsid w:val="31A93C46"/>
    <w:rsid w:val="31AB71D2"/>
    <w:rsid w:val="31C362CB"/>
    <w:rsid w:val="31C94416"/>
    <w:rsid w:val="31CB6091"/>
    <w:rsid w:val="31CD1C13"/>
    <w:rsid w:val="31D1694B"/>
    <w:rsid w:val="31DC5155"/>
    <w:rsid w:val="31E12333"/>
    <w:rsid w:val="31F63317"/>
    <w:rsid w:val="31FD6073"/>
    <w:rsid w:val="32024E86"/>
    <w:rsid w:val="3210115D"/>
    <w:rsid w:val="32153495"/>
    <w:rsid w:val="3220243A"/>
    <w:rsid w:val="322F301F"/>
    <w:rsid w:val="3233348B"/>
    <w:rsid w:val="32362F74"/>
    <w:rsid w:val="32393EFC"/>
    <w:rsid w:val="324F5BF1"/>
    <w:rsid w:val="325F0F0C"/>
    <w:rsid w:val="32644486"/>
    <w:rsid w:val="326B722B"/>
    <w:rsid w:val="327422B7"/>
    <w:rsid w:val="32843AED"/>
    <w:rsid w:val="32A603EB"/>
    <w:rsid w:val="32AE2918"/>
    <w:rsid w:val="32B949EA"/>
    <w:rsid w:val="32CE7207"/>
    <w:rsid w:val="32DD302D"/>
    <w:rsid w:val="32E27942"/>
    <w:rsid w:val="32F6565F"/>
    <w:rsid w:val="3304078A"/>
    <w:rsid w:val="330864CC"/>
    <w:rsid w:val="33196106"/>
    <w:rsid w:val="332F054D"/>
    <w:rsid w:val="33516BCC"/>
    <w:rsid w:val="33643835"/>
    <w:rsid w:val="33647E1B"/>
    <w:rsid w:val="337B485B"/>
    <w:rsid w:val="337C5F73"/>
    <w:rsid w:val="3385067B"/>
    <w:rsid w:val="33883E73"/>
    <w:rsid w:val="33890C8F"/>
    <w:rsid w:val="33997124"/>
    <w:rsid w:val="33A54DD3"/>
    <w:rsid w:val="33A61A0B"/>
    <w:rsid w:val="33AD4194"/>
    <w:rsid w:val="33B15795"/>
    <w:rsid w:val="33B675FB"/>
    <w:rsid w:val="33CE5227"/>
    <w:rsid w:val="33D77C4D"/>
    <w:rsid w:val="33D96789"/>
    <w:rsid w:val="33DB2276"/>
    <w:rsid w:val="33EE6039"/>
    <w:rsid w:val="33EF6B5D"/>
    <w:rsid w:val="33F87CBC"/>
    <w:rsid w:val="33FA57F3"/>
    <w:rsid w:val="340F2987"/>
    <w:rsid w:val="34155000"/>
    <w:rsid w:val="34241E5A"/>
    <w:rsid w:val="3425464E"/>
    <w:rsid w:val="342A4534"/>
    <w:rsid w:val="342B2748"/>
    <w:rsid w:val="34347613"/>
    <w:rsid w:val="344545A1"/>
    <w:rsid w:val="34473024"/>
    <w:rsid w:val="344A2F2E"/>
    <w:rsid w:val="344F3B16"/>
    <w:rsid w:val="34503AE0"/>
    <w:rsid w:val="345F3CA4"/>
    <w:rsid w:val="34706D7C"/>
    <w:rsid w:val="347C2B73"/>
    <w:rsid w:val="349A226E"/>
    <w:rsid w:val="34A12CA4"/>
    <w:rsid w:val="34A74049"/>
    <w:rsid w:val="34A87C0A"/>
    <w:rsid w:val="34B46996"/>
    <w:rsid w:val="34BD1CD9"/>
    <w:rsid w:val="34BE17F8"/>
    <w:rsid w:val="34BE1A18"/>
    <w:rsid w:val="34C916CF"/>
    <w:rsid w:val="34CD06DF"/>
    <w:rsid w:val="34D83B42"/>
    <w:rsid w:val="34E631BA"/>
    <w:rsid w:val="34EA4FFE"/>
    <w:rsid w:val="35014893"/>
    <w:rsid w:val="35044E0A"/>
    <w:rsid w:val="350A38BC"/>
    <w:rsid w:val="3535049D"/>
    <w:rsid w:val="353A2AD5"/>
    <w:rsid w:val="354A2E9C"/>
    <w:rsid w:val="354C02F1"/>
    <w:rsid w:val="35586040"/>
    <w:rsid w:val="355B097B"/>
    <w:rsid w:val="355D7E48"/>
    <w:rsid w:val="35640AA7"/>
    <w:rsid w:val="358A1ACA"/>
    <w:rsid w:val="358A4254"/>
    <w:rsid w:val="359965F5"/>
    <w:rsid w:val="359D0D29"/>
    <w:rsid w:val="35A64B1C"/>
    <w:rsid w:val="35A85E7F"/>
    <w:rsid w:val="35C41515"/>
    <w:rsid w:val="35DA1C16"/>
    <w:rsid w:val="35E20AB3"/>
    <w:rsid w:val="35E40AAF"/>
    <w:rsid w:val="35E9447C"/>
    <w:rsid w:val="35ED0684"/>
    <w:rsid w:val="3607629B"/>
    <w:rsid w:val="360D7BDD"/>
    <w:rsid w:val="3616733E"/>
    <w:rsid w:val="362048E7"/>
    <w:rsid w:val="36280C33"/>
    <w:rsid w:val="362B7385"/>
    <w:rsid w:val="362D624A"/>
    <w:rsid w:val="363C7A26"/>
    <w:rsid w:val="36572238"/>
    <w:rsid w:val="36714388"/>
    <w:rsid w:val="367B525F"/>
    <w:rsid w:val="367F6C7D"/>
    <w:rsid w:val="3689263B"/>
    <w:rsid w:val="368B3923"/>
    <w:rsid w:val="368E2129"/>
    <w:rsid w:val="369F146B"/>
    <w:rsid w:val="36A2338A"/>
    <w:rsid w:val="36A43E63"/>
    <w:rsid w:val="36AB765E"/>
    <w:rsid w:val="36AF3A1C"/>
    <w:rsid w:val="36B74AF6"/>
    <w:rsid w:val="36BF5033"/>
    <w:rsid w:val="36CC4E8E"/>
    <w:rsid w:val="36D33498"/>
    <w:rsid w:val="36D35884"/>
    <w:rsid w:val="36D910F2"/>
    <w:rsid w:val="36E24857"/>
    <w:rsid w:val="36F016CA"/>
    <w:rsid w:val="37021E57"/>
    <w:rsid w:val="37101C5F"/>
    <w:rsid w:val="37134EED"/>
    <w:rsid w:val="372F673B"/>
    <w:rsid w:val="3735060F"/>
    <w:rsid w:val="37400CBA"/>
    <w:rsid w:val="37462B6D"/>
    <w:rsid w:val="3749211E"/>
    <w:rsid w:val="376D1BAD"/>
    <w:rsid w:val="37725E4D"/>
    <w:rsid w:val="377E0A45"/>
    <w:rsid w:val="37811EE8"/>
    <w:rsid w:val="3788047A"/>
    <w:rsid w:val="378F690C"/>
    <w:rsid w:val="37970291"/>
    <w:rsid w:val="37A10B19"/>
    <w:rsid w:val="37A7676C"/>
    <w:rsid w:val="37AF1490"/>
    <w:rsid w:val="37B00DA3"/>
    <w:rsid w:val="37B652C5"/>
    <w:rsid w:val="37BC3DC7"/>
    <w:rsid w:val="37DD5BE3"/>
    <w:rsid w:val="37E04929"/>
    <w:rsid w:val="37E1564A"/>
    <w:rsid w:val="37F24D21"/>
    <w:rsid w:val="38054756"/>
    <w:rsid w:val="381C4EFF"/>
    <w:rsid w:val="38375C66"/>
    <w:rsid w:val="38551131"/>
    <w:rsid w:val="38622165"/>
    <w:rsid w:val="386776ED"/>
    <w:rsid w:val="386C2AA2"/>
    <w:rsid w:val="38760DB8"/>
    <w:rsid w:val="387741B4"/>
    <w:rsid w:val="387A0C66"/>
    <w:rsid w:val="38896326"/>
    <w:rsid w:val="388D7506"/>
    <w:rsid w:val="3891704B"/>
    <w:rsid w:val="3894652D"/>
    <w:rsid w:val="38A61205"/>
    <w:rsid w:val="38BB64B8"/>
    <w:rsid w:val="38BD6FDF"/>
    <w:rsid w:val="38C33371"/>
    <w:rsid w:val="38C35764"/>
    <w:rsid w:val="38CC57E4"/>
    <w:rsid w:val="38DB7B5F"/>
    <w:rsid w:val="38EF5842"/>
    <w:rsid w:val="38F8510D"/>
    <w:rsid w:val="390A2872"/>
    <w:rsid w:val="391725C0"/>
    <w:rsid w:val="3925374E"/>
    <w:rsid w:val="392628AE"/>
    <w:rsid w:val="3928085A"/>
    <w:rsid w:val="39382F3B"/>
    <w:rsid w:val="39472CE8"/>
    <w:rsid w:val="394C0BF2"/>
    <w:rsid w:val="3951224F"/>
    <w:rsid w:val="395C1022"/>
    <w:rsid w:val="39750C67"/>
    <w:rsid w:val="397A1568"/>
    <w:rsid w:val="397A53E5"/>
    <w:rsid w:val="399D5A5C"/>
    <w:rsid w:val="39A40668"/>
    <w:rsid w:val="39B42D34"/>
    <w:rsid w:val="39D649E4"/>
    <w:rsid w:val="39DA16C3"/>
    <w:rsid w:val="39E87E59"/>
    <w:rsid w:val="39E9692C"/>
    <w:rsid w:val="39F31D94"/>
    <w:rsid w:val="39F70DCD"/>
    <w:rsid w:val="39F84C79"/>
    <w:rsid w:val="39F91C7C"/>
    <w:rsid w:val="3A3D49B0"/>
    <w:rsid w:val="3A3F1F3F"/>
    <w:rsid w:val="3A4B6265"/>
    <w:rsid w:val="3A507E77"/>
    <w:rsid w:val="3A616EB5"/>
    <w:rsid w:val="3A692B81"/>
    <w:rsid w:val="3A820EB6"/>
    <w:rsid w:val="3A8446A7"/>
    <w:rsid w:val="3A8A70C9"/>
    <w:rsid w:val="3A8D6CA0"/>
    <w:rsid w:val="3A8F0928"/>
    <w:rsid w:val="3A96260F"/>
    <w:rsid w:val="3AB7512D"/>
    <w:rsid w:val="3ABC4760"/>
    <w:rsid w:val="3ABE537A"/>
    <w:rsid w:val="3AC258E1"/>
    <w:rsid w:val="3AD763D7"/>
    <w:rsid w:val="3AE75FB6"/>
    <w:rsid w:val="3AFD44E9"/>
    <w:rsid w:val="3B0637B0"/>
    <w:rsid w:val="3B2124A4"/>
    <w:rsid w:val="3B345F96"/>
    <w:rsid w:val="3B4C70F8"/>
    <w:rsid w:val="3B595FBE"/>
    <w:rsid w:val="3B637ABB"/>
    <w:rsid w:val="3B693880"/>
    <w:rsid w:val="3B695B7C"/>
    <w:rsid w:val="3B6E6EEA"/>
    <w:rsid w:val="3B7C2027"/>
    <w:rsid w:val="3B802CBB"/>
    <w:rsid w:val="3B960214"/>
    <w:rsid w:val="3B9D352A"/>
    <w:rsid w:val="3BA30F1D"/>
    <w:rsid w:val="3BA66333"/>
    <w:rsid w:val="3BA81FCB"/>
    <w:rsid w:val="3BBA7883"/>
    <w:rsid w:val="3BBE4987"/>
    <w:rsid w:val="3BC12100"/>
    <w:rsid w:val="3BC35686"/>
    <w:rsid w:val="3BC37EF8"/>
    <w:rsid w:val="3BDC202D"/>
    <w:rsid w:val="3BE43074"/>
    <w:rsid w:val="3C017F5D"/>
    <w:rsid w:val="3C050D4E"/>
    <w:rsid w:val="3C0A2EB1"/>
    <w:rsid w:val="3C1C08F2"/>
    <w:rsid w:val="3C1D2C38"/>
    <w:rsid w:val="3C2553AA"/>
    <w:rsid w:val="3C291261"/>
    <w:rsid w:val="3C3632D4"/>
    <w:rsid w:val="3C387660"/>
    <w:rsid w:val="3C481407"/>
    <w:rsid w:val="3C5C1C3E"/>
    <w:rsid w:val="3C5D0868"/>
    <w:rsid w:val="3C612AFF"/>
    <w:rsid w:val="3C6D0F69"/>
    <w:rsid w:val="3C753B5A"/>
    <w:rsid w:val="3C764EAA"/>
    <w:rsid w:val="3C77514B"/>
    <w:rsid w:val="3C7F1FC2"/>
    <w:rsid w:val="3CAF7102"/>
    <w:rsid w:val="3CC26CB2"/>
    <w:rsid w:val="3CCE362B"/>
    <w:rsid w:val="3CD13D8B"/>
    <w:rsid w:val="3CD2211B"/>
    <w:rsid w:val="3CE23269"/>
    <w:rsid w:val="3CE46170"/>
    <w:rsid w:val="3CEF24AB"/>
    <w:rsid w:val="3CF05A1E"/>
    <w:rsid w:val="3CF7064B"/>
    <w:rsid w:val="3CFA4BFF"/>
    <w:rsid w:val="3CFF03D0"/>
    <w:rsid w:val="3CFF3CB7"/>
    <w:rsid w:val="3D01076F"/>
    <w:rsid w:val="3D034535"/>
    <w:rsid w:val="3D062B25"/>
    <w:rsid w:val="3D0A6D1E"/>
    <w:rsid w:val="3D0B0988"/>
    <w:rsid w:val="3D1507F8"/>
    <w:rsid w:val="3D2D2171"/>
    <w:rsid w:val="3D37326B"/>
    <w:rsid w:val="3D3E0A5C"/>
    <w:rsid w:val="3D722D3B"/>
    <w:rsid w:val="3D7549B1"/>
    <w:rsid w:val="3D883836"/>
    <w:rsid w:val="3D93073E"/>
    <w:rsid w:val="3DA07F51"/>
    <w:rsid w:val="3DC3166C"/>
    <w:rsid w:val="3DC60A63"/>
    <w:rsid w:val="3DCA5152"/>
    <w:rsid w:val="3DDF6088"/>
    <w:rsid w:val="3DE65872"/>
    <w:rsid w:val="3DE9790D"/>
    <w:rsid w:val="3E12266C"/>
    <w:rsid w:val="3E132A9A"/>
    <w:rsid w:val="3E201DAF"/>
    <w:rsid w:val="3E2024DC"/>
    <w:rsid w:val="3E24274D"/>
    <w:rsid w:val="3E29376A"/>
    <w:rsid w:val="3E5B0C66"/>
    <w:rsid w:val="3E645CC4"/>
    <w:rsid w:val="3E815385"/>
    <w:rsid w:val="3E8F6E78"/>
    <w:rsid w:val="3EAD5FE8"/>
    <w:rsid w:val="3EC3403F"/>
    <w:rsid w:val="3EC92287"/>
    <w:rsid w:val="3ECC154D"/>
    <w:rsid w:val="3ED8061F"/>
    <w:rsid w:val="3EDA230E"/>
    <w:rsid w:val="3EDD3236"/>
    <w:rsid w:val="3EE718C4"/>
    <w:rsid w:val="3EFE69D5"/>
    <w:rsid w:val="3F024488"/>
    <w:rsid w:val="3F177461"/>
    <w:rsid w:val="3F1C3A5A"/>
    <w:rsid w:val="3F210EC9"/>
    <w:rsid w:val="3F212C5E"/>
    <w:rsid w:val="3F2E13B9"/>
    <w:rsid w:val="3F2F4457"/>
    <w:rsid w:val="3F5901D1"/>
    <w:rsid w:val="3F6317DC"/>
    <w:rsid w:val="3F684CF1"/>
    <w:rsid w:val="3F7F2379"/>
    <w:rsid w:val="3F950288"/>
    <w:rsid w:val="3F9C135A"/>
    <w:rsid w:val="3FA6693B"/>
    <w:rsid w:val="3FB55A94"/>
    <w:rsid w:val="3FBF628A"/>
    <w:rsid w:val="3FC43688"/>
    <w:rsid w:val="3FD84D6B"/>
    <w:rsid w:val="3FDF51CD"/>
    <w:rsid w:val="3FF417AD"/>
    <w:rsid w:val="3FFB27AD"/>
    <w:rsid w:val="3FFF0560"/>
    <w:rsid w:val="40043612"/>
    <w:rsid w:val="40156BD0"/>
    <w:rsid w:val="401F0D61"/>
    <w:rsid w:val="402970A9"/>
    <w:rsid w:val="40442E5C"/>
    <w:rsid w:val="404D19E3"/>
    <w:rsid w:val="407F19EA"/>
    <w:rsid w:val="409D0293"/>
    <w:rsid w:val="40A43286"/>
    <w:rsid w:val="40AA575C"/>
    <w:rsid w:val="40AB23C9"/>
    <w:rsid w:val="40BB4E1B"/>
    <w:rsid w:val="40C00455"/>
    <w:rsid w:val="40C034E9"/>
    <w:rsid w:val="40DC394A"/>
    <w:rsid w:val="40E8106F"/>
    <w:rsid w:val="40F05854"/>
    <w:rsid w:val="40F534E0"/>
    <w:rsid w:val="40FD16DC"/>
    <w:rsid w:val="40FF65CA"/>
    <w:rsid w:val="411519BE"/>
    <w:rsid w:val="411B1511"/>
    <w:rsid w:val="411E0097"/>
    <w:rsid w:val="412532AA"/>
    <w:rsid w:val="41305F73"/>
    <w:rsid w:val="41380753"/>
    <w:rsid w:val="413D4A79"/>
    <w:rsid w:val="4140278F"/>
    <w:rsid w:val="41465FC8"/>
    <w:rsid w:val="41585B81"/>
    <w:rsid w:val="415A0ADF"/>
    <w:rsid w:val="415E1B31"/>
    <w:rsid w:val="41605B93"/>
    <w:rsid w:val="416B3891"/>
    <w:rsid w:val="416D2444"/>
    <w:rsid w:val="416D2617"/>
    <w:rsid w:val="41731CFD"/>
    <w:rsid w:val="417D6B2C"/>
    <w:rsid w:val="417E53B0"/>
    <w:rsid w:val="41D748D4"/>
    <w:rsid w:val="41DF7674"/>
    <w:rsid w:val="41F0777B"/>
    <w:rsid w:val="41F714FD"/>
    <w:rsid w:val="42096245"/>
    <w:rsid w:val="42146B7B"/>
    <w:rsid w:val="4226687E"/>
    <w:rsid w:val="422B058C"/>
    <w:rsid w:val="422E137F"/>
    <w:rsid w:val="42426BD9"/>
    <w:rsid w:val="426041E0"/>
    <w:rsid w:val="4288048F"/>
    <w:rsid w:val="4294373D"/>
    <w:rsid w:val="42946A25"/>
    <w:rsid w:val="42A77076"/>
    <w:rsid w:val="42AA41A6"/>
    <w:rsid w:val="42BD5934"/>
    <w:rsid w:val="42CE1F9A"/>
    <w:rsid w:val="42DC2C0F"/>
    <w:rsid w:val="42DD2357"/>
    <w:rsid w:val="42E378EA"/>
    <w:rsid w:val="42EC17C5"/>
    <w:rsid w:val="43090999"/>
    <w:rsid w:val="430E3EED"/>
    <w:rsid w:val="431B423D"/>
    <w:rsid w:val="431B4361"/>
    <w:rsid w:val="431D6275"/>
    <w:rsid w:val="43217641"/>
    <w:rsid w:val="432B1975"/>
    <w:rsid w:val="43477D8A"/>
    <w:rsid w:val="435158BC"/>
    <w:rsid w:val="435D368B"/>
    <w:rsid w:val="43670FED"/>
    <w:rsid w:val="43731B2F"/>
    <w:rsid w:val="43A710EC"/>
    <w:rsid w:val="43B8455A"/>
    <w:rsid w:val="43CF44D3"/>
    <w:rsid w:val="43D17A46"/>
    <w:rsid w:val="43D4284F"/>
    <w:rsid w:val="43DA01EC"/>
    <w:rsid w:val="43E72F86"/>
    <w:rsid w:val="43F74887"/>
    <w:rsid w:val="43FE2137"/>
    <w:rsid w:val="43FF7D82"/>
    <w:rsid w:val="44003E36"/>
    <w:rsid w:val="44020D16"/>
    <w:rsid w:val="44216069"/>
    <w:rsid w:val="44305BBA"/>
    <w:rsid w:val="444875B7"/>
    <w:rsid w:val="446A76C8"/>
    <w:rsid w:val="447B7426"/>
    <w:rsid w:val="449E617E"/>
    <w:rsid w:val="44A12CDA"/>
    <w:rsid w:val="44B406F7"/>
    <w:rsid w:val="44B44CFB"/>
    <w:rsid w:val="44C126F2"/>
    <w:rsid w:val="44D101A3"/>
    <w:rsid w:val="44D8211A"/>
    <w:rsid w:val="44D97CC8"/>
    <w:rsid w:val="44E11D12"/>
    <w:rsid w:val="44E74D70"/>
    <w:rsid w:val="44ED10CE"/>
    <w:rsid w:val="451134DD"/>
    <w:rsid w:val="45263CFA"/>
    <w:rsid w:val="452D3499"/>
    <w:rsid w:val="4530341B"/>
    <w:rsid w:val="453B428D"/>
    <w:rsid w:val="45476C96"/>
    <w:rsid w:val="454E63B1"/>
    <w:rsid w:val="455635D1"/>
    <w:rsid w:val="455723CE"/>
    <w:rsid w:val="45760A45"/>
    <w:rsid w:val="457A5299"/>
    <w:rsid w:val="457A56BB"/>
    <w:rsid w:val="457E3416"/>
    <w:rsid w:val="458319E2"/>
    <w:rsid w:val="458C322C"/>
    <w:rsid w:val="458D6DD8"/>
    <w:rsid w:val="459109F4"/>
    <w:rsid w:val="45921A05"/>
    <w:rsid w:val="45976EFE"/>
    <w:rsid w:val="45B62896"/>
    <w:rsid w:val="45B75173"/>
    <w:rsid w:val="45B775A4"/>
    <w:rsid w:val="45BC20BA"/>
    <w:rsid w:val="45BD1FBC"/>
    <w:rsid w:val="45C72681"/>
    <w:rsid w:val="45CB5808"/>
    <w:rsid w:val="45CF6667"/>
    <w:rsid w:val="45DE6F05"/>
    <w:rsid w:val="45E73B78"/>
    <w:rsid w:val="45EC4146"/>
    <w:rsid w:val="461D5CB2"/>
    <w:rsid w:val="46225F8A"/>
    <w:rsid w:val="46243831"/>
    <w:rsid w:val="462B53C0"/>
    <w:rsid w:val="463A4FC6"/>
    <w:rsid w:val="463C6DC2"/>
    <w:rsid w:val="46424D8A"/>
    <w:rsid w:val="46445FEE"/>
    <w:rsid w:val="46521E10"/>
    <w:rsid w:val="4660799F"/>
    <w:rsid w:val="4664205E"/>
    <w:rsid w:val="466A68DA"/>
    <w:rsid w:val="466B6068"/>
    <w:rsid w:val="466B67B6"/>
    <w:rsid w:val="46790CB6"/>
    <w:rsid w:val="467D0B27"/>
    <w:rsid w:val="468F05A2"/>
    <w:rsid w:val="468F4494"/>
    <w:rsid w:val="46A36F52"/>
    <w:rsid w:val="46B63E85"/>
    <w:rsid w:val="46B74038"/>
    <w:rsid w:val="46BB24AD"/>
    <w:rsid w:val="46F860E9"/>
    <w:rsid w:val="470438DD"/>
    <w:rsid w:val="47043CD6"/>
    <w:rsid w:val="470D1525"/>
    <w:rsid w:val="4719426E"/>
    <w:rsid w:val="472231A4"/>
    <w:rsid w:val="472D2E17"/>
    <w:rsid w:val="473B747B"/>
    <w:rsid w:val="47444C90"/>
    <w:rsid w:val="474835E3"/>
    <w:rsid w:val="4751797E"/>
    <w:rsid w:val="47547272"/>
    <w:rsid w:val="476426E8"/>
    <w:rsid w:val="476C55A2"/>
    <w:rsid w:val="477015B5"/>
    <w:rsid w:val="47712DC1"/>
    <w:rsid w:val="47726B9D"/>
    <w:rsid w:val="47AE6B40"/>
    <w:rsid w:val="47B20776"/>
    <w:rsid w:val="47B224EA"/>
    <w:rsid w:val="47B2564E"/>
    <w:rsid w:val="47BE5983"/>
    <w:rsid w:val="47CF01F6"/>
    <w:rsid w:val="47EC6BDD"/>
    <w:rsid w:val="47F44B89"/>
    <w:rsid w:val="47F6589D"/>
    <w:rsid w:val="480C04F6"/>
    <w:rsid w:val="48242C98"/>
    <w:rsid w:val="48277895"/>
    <w:rsid w:val="482F33C1"/>
    <w:rsid w:val="483C184C"/>
    <w:rsid w:val="483F0CB0"/>
    <w:rsid w:val="48636DA4"/>
    <w:rsid w:val="48652F19"/>
    <w:rsid w:val="4875742B"/>
    <w:rsid w:val="487F476B"/>
    <w:rsid w:val="488A68CF"/>
    <w:rsid w:val="489D1D0E"/>
    <w:rsid w:val="489E1AD2"/>
    <w:rsid w:val="48AA1C07"/>
    <w:rsid w:val="48AC0CEC"/>
    <w:rsid w:val="48AE76E2"/>
    <w:rsid w:val="48C83DC4"/>
    <w:rsid w:val="48D6431A"/>
    <w:rsid w:val="48DF0E6B"/>
    <w:rsid w:val="48E43E8C"/>
    <w:rsid w:val="48ED73F7"/>
    <w:rsid w:val="48F40773"/>
    <w:rsid w:val="48F43409"/>
    <w:rsid w:val="48F54560"/>
    <w:rsid w:val="49094029"/>
    <w:rsid w:val="490C5111"/>
    <w:rsid w:val="491907A2"/>
    <w:rsid w:val="491A2D45"/>
    <w:rsid w:val="492571D2"/>
    <w:rsid w:val="49332C49"/>
    <w:rsid w:val="49334494"/>
    <w:rsid w:val="4938412B"/>
    <w:rsid w:val="495F6BCD"/>
    <w:rsid w:val="496170E9"/>
    <w:rsid w:val="49696074"/>
    <w:rsid w:val="497004D0"/>
    <w:rsid w:val="498610CD"/>
    <w:rsid w:val="4989655A"/>
    <w:rsid w:val="499C4175"/>
    <w:rsid w:val="49B72443"/>
    <w:rsid w:val="49C918F6"/>
    <w:rsid w:val="49CF7183"/>
    <w:rsid w:val="49F829C1"/>
    <w:rsid w:val="4A154D6E"/>
    <w:rsid w:val="4A1A00BE"/>
    <w:rsid w:val="4A1B0D47"/>
    <w:rsid w:val="4A1E216C"/>
    <w:rsid w:val="4A215A8B"/>
    <w:rsid w:val="4A527036"/>
    <w:rsid w:val="4A533A5F"/>
    <w:rsid w:val="4A6D4D52"/>
    <w:rsid w:val="4A7B2048"/>
    <w:rsid w:val="4A7C6152"/>
    <w:rsid w:val="4A7C66F4"/>
    <w:rsid w:val="4A864A1E"/>
    <w:rsid w:val="4A87456B"/>
    <w:rsid w:val="4A8B7CD1"/>
    <w:rsid w:val="4A9549CB"/>
    <w:rsid w:val="4AAD4265"/>
    <w:rsid w:val="4AB51B19"/>
    <w:rsid w:val="4AB73080"/>
    <w:rsid w:val="4ABA40F8"/>
    <w:rsid w:val="4AD13110"/>
    <w:rsid w:val="4AD84510"/>
    <w:rsid w:val="4AEF6D40"/>
    <w:rsid w:val="4AFE38F0"/>
    <w:rsid w:val="4B0327C6"/>
    <w:rsid w:val="4B054B6A"/>
    <w:rsid w:val="4B0B2CAF"/>
    <w:rsid w:val="4B2C6678"/>
    <w:rsid w:val="4B47309E"/>
    <w:rsid w:val="4B4C1FB8"/>
    <w:rsid w:val="4B4D5052"/>
    <w:rsid w:val="4B5B4729"/>
    <w:rsid w:val="4B5C6083"/>
    <w:rsid w:val="4B682903"/>
    <w:rsid w:val="4B6C6682"/>
    <w:rsid w:val="4B7A337D"/>
    <w:rsid w:val="4B8207B7"/>
    <w:rsid w:val="4B871B8C"/>
    <w:rsid w:val="4B8B4FDA"/>
    <w:rsid w:val="4B9506C1"/>
    <w:rsid w:val="4BAB3FEA"/>
    <w:rsid w:val="4BC411C0"/>
    <w:rsid w:val="4BD6757B"/>
    <w:rsid w:val="4BF11F9C"/>
    <w:rsid w:val="4BF45471"/>
    <w:rsid w:val="4BF90C8A"/>
    <w:rsid w:val="4BFA7DD8"/>
    <w:rsid w:val="4BFE2089"/>
    <w:rsid w:val="4C0759BC"/>
    <w:rsid w:val="4C1764B9"/>
    <w:rsid w:val="4C2D0433"/>
    <w:rsid w:val="4C411F63"/>
    <w:rsid w:val="4C443C1D"/>
    <w:rsid w:val="4C461C95"/>
    <w:rsid w:val="4C5550A0"/>
    <w:rsid w:val="4C573346"/>
    <w:rsid w:val="4C784F99"/>
    <w:rsid w:val="4C7D4775"/>
    <w:rsid w:val="4C853ECF"/>
    <w:rsid w:val="4C920781"/>
    <w:rsid w:val="4C9B13D5"/>
    <w:rsid w:val="4C9D7D81"/>
    <w:rsid w:val="4CBB6E45"/>
    <w:rsid w:val="4CBF156E"/>
    <w:rsid w:val="4CD5093F"/>
    <w:rsid w:val="4CF655AF"/>
    <w:rsid w:val="4CFB1DA6"/>
    <w:rsid w:val="4D0F4FDC"/>
    <w:rsid w:val="4D1331BE"/>
    <w:rsid w:val="4D1A5453"/>
    <w:rsid w:val="4D2D4A55"/>
    <w:rsid w:val="4D323FCE"/>
    <w:rsid w:val="4D3B5D17"/>
    <w:rsid w:val="4D6F1B11"/>
    <w:rsid w:val="4D7E1F03"/>
    <w:rsid w:val="4D987FF5"/>
    <w:rsid w:val="4D9B41AB"/>
    <w:rsid w:val="4D9D5288"/>
    <w:rsid w:val="4DA53F28"/>
    <w:rsid w:val="4DAE0862"/>
    <w:rsid w:val="4DB36F88"/>
    <w:rsid w:val="4DBA01B6"/>
    <w:rsid w:val="4DBD730F"/>
    <w:rsid w:val="4DC94A5D"/>
    <w:rsid w:val="4DD12FC8"/>
    <w:rsid w:val="4DDF01A5"/>
    <w:rsid w:val="4DEB1BDC"/>
    <w:rsid w:val="4DEE6881"/>
    <w:rsid w:val="4DFA21DB"/>
    <w:rsid w:val="4E0565DE"/>
    <w:rsid w:val="4E0A1298"/>
    <w:rsid w:val="4E0E47B1"/>
    <w:rsid w:val="4E0F04B5"/>
    <w:rsid w:val="4E1943D3"/>
    <w:rsid w:val="4E1952D9"/>
    <w:rsid w:val="4E1C7875"/>
    <w:rsid w:val="4E2435B5"/>
    <w:rsid w:val="4E2A71F3"/>
    <w:rsid w:val="4E335D9E"/>
    <w:rsid w:val="4E3E7320"/>
    <w:rsid w:val="4E3F0E77"/>
    <w:rsid w:val="4E3F4FB5"/>
    <w:rsid w:val="4E444AD8"/>
    <w:rsid w:val="4E4752CB"/>
    <w:rsid w:val="4E57476D"/>
    <w:rsid w:val="4E5C36E5"/>
    <w:rsid w:val="4E6E7A73"/>
    <w:rsid w:val="4E756529"/>
    <w:rsid w:val="4E7D3EFC"/>
    <w:rsid w:val="4E8011B5"/>
    <w:rsid w:val="4E812762"/>
    <w:rsid w:val="4E824A53"/>
    <w:rsid w:val="4E9065C5"/>
    <w:rsid w:val="4E9638DC"/>
    <w:rsid w:val="4EA560D8"/>
    <w:rsid w:val="4EAA0C27"/>
    <w:rsid w:val="4EB7664B"/>
    <w:rsid w:val="4EC103FE"/>
    <w:rsid w:val="4F0B412E"/>
    <w:rsid w:val="4F2664C5"/>
    <w:rsid w:val="4F2A308B"/>
    <w:rsid w:val="4F2B18A9"/>
    <w:rsid w:val="4F2C130B"/>
    <w:rsid w:val="4F480AF8"/>
    <w:rsid w:val="4F574F21"/>
    <w:rsid w:val="4F736EB5"/>
    <w:rsid w:val="4F762AE3"/>
    <w:rsid w:val="4F7B2712"/>
    <w:rsid w:val="4F835C08"/>
    <w:rsid w:val="4F870321"/>
    <w:rsid w:val="4F8B2BDA"/>
    <w:rsid w:val="4FA03AE4"/>
    <w:rsid w:val="4FA42B08"/>
    <w:rsid w:val="4FB003DA"/>
    <w:rsid w:val="4FB84C92"/>
    <w:rsid w:val="4FBD0615"/>
    <w:rsid w:val="4FC74511"/>
    <w:rsid w:val="4FCB3356"/>
    <w:rsid w:val="4FE614EB"/>
    <w:rsid w:val="500572CF"/>
    <w:rsid w:val="500C7C07"/>
    <w:rsid w:val="500C7F61"/>
    <w:rsid w:val="500E0695"/>
    <w:rsid w:val="50243DC2"/>
    <w:rsid w:val="502D35F8"/>
    <w:rsid w:val="502D4E79"/>
    <w:rsid w:val="503F0BFC"/>
    <w:rsid w:val="504D48EB"/>
    <w:rsid w:val="5050362F"/>
    <w:rsid w:val="50516936"/>
    <w:rsid w:val="505D19B3"/>
    <w:rsid w:val="506177CB"/>
    <w:rsid w:val="507537B4"/>
    <w:rsid w:val="50810807"/>
    <w:rsid w:val="50831075"/>
    <w:rsid w:val="508D1ABF"/>
    <w:rsid w:val="508D1F6C"/>
    <w:rsid w:val="509B550B"/>
    <w:rsid w:val="50A70A59"/>
    <w:rsid w:val="50A8726C"/>
    <w:rsid w:val="50D6330E"/>
    <w:rsid w:val="5109692F"/>
    <w:rsid w:val="51134FF1"/>
    <w:rsid w:val="511734F5"/>
    <w:rsid w:val="511A6B4E"/>
    <w:rsid w:val="515900C3"/>
    <w:rsid w:val="51694C99"/>
    <w:rsid w:val="51765ED6"/>
    <w:rsid w:val="517A4F8F"/>
    <w:rsid w:val="51976BBD"/>
    <w:rsid w:val="519B42B6"/>
    <w:rsid w:val="51A94FAF"/>
    <w:rsid w:val="51AA45E6"/>
    <w:rsid w:val="51B06BB0"/>
    <w:rsid w:val="51B35153"/>
    <w:rsid w:val="51B960DF"/>
    <w:rsid w:val="51BA5215"/>
    <w:rsid w:val="51C83469"/>
    <w:rsid w:val="51CC2572"/>
    <w:rsid w:val="51F7641D"/>
    <w:rsid w:val="51F855F5"/>
    <w:rsid w:val="52091409"/>
    <w:rsid w:val="52324D7B"/>
    <w:rsid w:val="5243500C"/>
    <w:rsid w:val="525766D1"/>
    <w:rsid w:val="525E64A2"/>
    <w:rsid w:val="52766942"/>
    <w:rsid w:val="527A3337"/>
    <w:rsid w:val="5283320A"/>
    <w:rsid w:val="52870F1B"/>
    <w:rsid w:val="52884ADC"/>
    <w:rsid w:val="529E05A8"/>
    <w:rsid w:val="52A34C1C"/>
    <w:rsid w:val="52A71D2E"/>
    <w:rsid w:val="52CB2C66"/>
    <w:rsid w:val="52E60507"/>
    <w:rsid w:val="5307218F"/>
    <w:rsid w:val="530D5C51"/>
    <w:rsid w:val="530F77CB"/>
    <w:rsid w:val="531B5950"/>
    <w:rsid w:val="53366588"/>
    <w:rsid w:val="53477523"/>
    <w:rsid w:val="537068FD"/>
    <w:rsid w:val="53773330"/>
    <w:rsid w:val="537B58DB"/>
    <w:rsid w:val="53806DA0"/>
    <w:rsid w:val="53842D58"/>
    <w:rsid w:val="53B8319F"/>
    <w:rsid w:val="53C51223"/>
    <w:rsid w:val="53C70CE0"/>
    <w:rsid w:val="53D975FE"/>
    <w:rsid w:val="53E97C3F"/>
    <w:rsid w:val="53EF128C"/>
    <w:rsid w:val="53F00B8B"/>
    <w:rsid w:val="53FE3ED8"/>
    <w:rsid w:val="5420538C"/>
    <w:rsid w:val="54291F5D"/>
    <w:rsid w:val="542E3461"/>
    <w:rsid w:val="54386EEE"/>
    <w:rsid w:val="54507947"/>
    <w:rsid w:val="5455791B"/>
    <w:rsid w:val="54626680"/>
    <w:rsid w:val="546E5B6B"/>
    <w:rsid w:val="546F428E"/>
    <w:rsid w:val="54737B83"/>
    <w:rsid w:val="54746421"/>
    <w:rsid w:val="547678FE"/>
    <w:rsid w:val="54813591"/>
    <w:rsid w:val="548240D2"/>
    <w:rsid w:val="548F0B4E"/>
    <w:rsid w:val="54966937"/>
    <w:rsid w:val="549944B3"/>
    <w:rsid w:val="54AC055B"/>
    <w:rsid w:val="54BA230C"/>
    <w:rsid w:val="54CF3CBA"/>
    <w:rsid w:val="54D4224E"/>
    <w:rsid w:val="54E079B3"/>
    <w:rsid w:val="54F93A8A"/>
    <w:rsid w:val="54FF4DC0"/>
    <w:rsid w:val="55083814"/>
    <w:rsid w:val="550841F9"/>
    <w:rsid w:val="5520759D"/>
    <w:rsid w:val="552D28FC"/>
    <w:rsid w:val="553B028C"/>
    <w:rsid w:val="553D10EB"/>
    <w:rsid w:val="5545143A"/>
    <w:rsid w:val="554B67CF"/>
    <w:rsid w:val="556B105B"/>
    <w:rsid w:val="557B767C"/>
    <w:rsid w:val="557D56A4"/>
    <w:rsid w:val="55854D2E"/>
    <w:rsid w:val="558B0EC4"/>
    <w:rsid w:val="55AB1667"/>
    <w:rsid w:val="55C0633B"/>
    <w:rsid w:val="55CC2F32"/>
    <w:rsid w:val="55D43ED1"/>
    <w:rsid w:val="55D46DA3"/>
    <w:rsid w:val="55E33570"/>
    <w:rsid w:val="55E772EC"/>
    <w:rsid w:val="55EB0093"/>
    <w:rsid w:val="56024722"/>
    <w:rsid w:val="56095F34"/>
    <w:rsid w:val="560F15A0"/>
    <w:rsid w:val="561F2FA4"/>
    <w:rsid w:val="564C2B01"/>
    <w:rsid w:val="56573025"/>
    <w:rsid w:val="565E3DB3"/>
    <w:rsid w:val="566677FF"/>
    <w:rsid w:val="566A31A2"/>
    <w:rsid w:val="566C3B73"/>
    <w:rsid w:val="567216B7"/>
    <w:rsid w:val="5678104D"/>
    <w:rsid w:val="56A057BD"/>
    <w:rsid w:val="56BC478D"/>
    <w:rsid w:val="56BD39C0"/>
    <w:rsid w:val="56CE4AD7"/>
    <w:rsid w:val="56E04515"/>
    <w:rsid w:val="56F73FA5"/>
    <w:rsid w:val="56FE29DB"/>
    <w:rsid w:val="570F0D2C"/>
    <w:rsid w:val="57131C90"/>
    <w:rsid w:val="57161CE9"/>
    <w:rsid w:val="572C0895"/>
    <w:rsid w:val="572C1D0F"/>
    <w:rsid w:val="57345F1A"/>
    <w:rsid w:val="573667EE"/>
    <w:rsid w:val="573D2468"/>
    <w:rsid w:val="575262F4"/>
    <w:rsid w:val="575906B0"/>
    <w:rsid w:val="575C3DBD"/>
    <w:rsid w:val="575D72D8"/>
    <w:rsid w:val="575F73B8"/>
    <w:rsid w:val="57715B28"/>
    <w:rsid w:val="577D0761"/>
    <w:rsid w:val="577F24C2"/>
    <w:rsid w:val="57814EED"/>
    <w:rsid w:val="5787168B"/>
    <w:rsid w:val="578E351F"/>
    <w:rsid w:val="578F5AA1"/>
    <w:rsid w:val="5791474D"/>
    <w:rsid w:val="579F6187"/>
    <w:rsid w:val="57A148DE"/>
    <w:rsid w:val="57A321D8"/>
    <w:rsid w:val="57A91AD8"/>
    <w:rsid w:val="57AE549A"/>
    <w:rsid w:val="57AE5A0A"/>
    <w:rsid w:val="57B06935"/>
    <w:rsid w:val="57C76914"/>
    <w:rsid w:val="57C961A6"/>
    <w:rsid w:val="57F30C49"/>
    <w:rsid w:val="57F33ADD"/>
    <w:rsid w:val="57F442D8"/>
    <w:rsid w:val="57F549C2"/>
    <w:rsid w:val="57FB5741"/>
    <w:rsid w:val="580249E9"/>
    <w:rsid w:val="58207ADF"/>
    <w:rsid w:val="58236909"/>
    <w:rsid w:val="58277B25"/>
    <w:rsid w:val="58347BC8"/>
    <w:rsid w:val="583F611D"/>
    <w:rsid w:val="58741C7B"/>
    <w:rsid w:val="588102E0"/>
    <w:rsid w:val="58871392"/>
    <w:rsid w:val="5892105F"/>
    <w:rsid w:val="589A6EED"/>
    <w:rsid w:val="58BB045B"/>
    <w:rsid w:val="58BC739B"/>
    <w:rsid w:val="58CD4FF7"/>
    <w:rsid w:val="58E46C5F"/>
    <w:rsid w:val="58E81E30"/>
    <w:rsid w:val="58F0512B"/>
    <w:rsid w:val="58F34DEE"/>
    <w:rsid w:val="5907190E"/>
    <w:rsid w:val="5909312A"/>
    <w:rsid w:val="59160468"/>
    <w:rsid w:val="593605A4"/>
    <w:rsid w:val="593B0A7C"/>
    <w:rsid w:val="59496717"/>
    <w:rsid w:val="59585546"/>
    <w:rsid w:val="596F4893"/>
    <w:rsid w:val="597A3254"/>
    <w:rsid w:val="59A16D65"/>
    <w:rsid w:val="59A557B0"/>
    <w:rsid w:val="59B26314"/>
    <w:rsid w:val="59C25606"/>
    <w:rsid w:val="59EA24F4"/>
    <w:rsid w:val="59F66FCC"/>
    <w:rsid w:val="5A0F0891"/>
    <w:rsid w:val="5A277941"/>
    <w:rsid w:val="5A2B4D8B"/>
    <w:rsid w:val="5A440600"/>
    <w:rsid w:val="5A4F05F4"/>
    <w:rsid w:val="5A57607D"/>
    <w:rsid w:val="5A5B6C38"/>
    <w:rsid w:val="5A603EA1"/>
    <w:rsid w:val="5A6742B8"/>
    <w:rsid w:val="5A763DC4"/>
    <w:rsid w:val="5A7A69E7"/>
    <w:rsid w:val="5A920FA8"/>
    <w:rsid w:val="5A926BAB"/>
    <w:rsid w:val="5A953CA8"/>
    <w:rsid w:val="5AA75ACA"/>
    <w:rsid w:val="5AA92C7E"/>
    <w:rsid w:val="5AAE2162"/>
    <w:rsid w:val="5ACD57CD"/>
    <w:rsid w:val="5AE71287"/>
    <w:rsid w:val="5AEA25E6"/>
    <w:rsid w:val="5AEE3DE9"/>
    <w:rsid w:val="5AEE6532"/>
    <w:rsid w:val="5B14558A"/>
    <w:rsid w:val="5B3378AB"/>
    <w:rsid w:val="5B3C0ABF"/>
    <w:rsid w:val="5B432563"/>
    <w:rsid w:val="5B4506D2"/>
    <w:rsid w:val="5B4E005F"/>
    <w:rsid w:val="5B58691B"/>
    <w:rsid w:val="5B5E7175"/>
    <w:rsid w:val="5B61055E"/>
    <w:rsid w:val="5B835E40"/>
    <w:rsid w:val="5B8C74FF"/>
    <w:rsid w:val="5B9F5DBE"/>
    <w:rsid w:val="5BBC7770"/>
    <w:rsid w:val="5BC327A1"/>
    <w:rsid w:val="5BDF67CB"/>
    <w:rsid w:val="5C1368B3"/>
    <w:rsid w:val="5C1C5861"/>
    <w:rsid w:val="5C25169C"/>
    <w:rsid w:val="5C2C28A8"/>
    <w:rsid w:val="5C2E23F3"/>
    <w:rsid w:val="5C4D66CC"/>
    <w:rsid w:val="5C554FE4"/>
    <w:rsid w:val="5C652610"/>
    <w:rsid w:val="5C6E2C97"/>
    <w:rsid w:val="5C84622D"/>
    <w:rsid w:val="5C88408C"/>
    <w:rsid w:val="5C9B57A1"/>
    <w:rsid w:val="5C9D1B38"/>
    <w:rsid w:val="5CB04DA7"/>
    <w:rsid w:val="5CB331A1"/>
    <w:rsid w:val="5CC25B3F"/>
    <w:rsid w:val="5CDB2F49"/>
    <w:rsid w:val="5CE56340"/>
    <w:rsid w:val="5CF15E07"/>
    <w:rsid w:val="5CFD3334"/>
    <w:rsid w:val="5CFD5E03"/>
    <w:rsid w:val="5D024210"/>
    <w:rsid w:val="5D1610E5"/>
    <w:rsid w:val="5D1E43B1"/>
    <w:rsid w:val="5D2C7F79"/>
    <w:rsid w:val="5D3C01EC"/>
    <w:rsid w:val="5D4E27B8"/>
    <w:rsid w:val="5D4E503C"/>
    <w:rsid w:val="5D5618FB"/>
    <w:rsid w:val="5D7F230C"/>
    <w:rsid w:val="5D9D6107"/>
    <w:rsid w:val="5DA344BD"/>
    <w:rsid w:val="5DA648F4"/>
    <w:rsid w:val="5DB269C5"/>
    <w:rsid w:val="5DCB1D21"/>
    <w:rsid w:val="5DDD6E1B"/>
    <w:rsid w:val="5DEE37E1"/>
    <w:rsid w:val="5DEF3C61"/>
    <w:rsid w:val="5DFB5441"/>
    <w:rsid w:val="5E1A011C"/>
    <w:rsid w:val="5E1B25F5"/>
    <w:rsid w:val="5E231915"/>
    <w:rsid w:val="5E2E263F"/>
    <w:rsid w:val="5E314CA3"/>
    <w:rsid w:val="5E473E2B"/>
    <w:rsid w:val="5E4E362E"/>
    <w:rsid w:val="5E5E6979"/>
    <w:rsid w:val="5E634E8C"/>
    <w:rsid w:val="5E6C5149"/>
    <w:rsid w:val="5E714676"/>
    <w:rsid w:val="5E8545C5"/>
    <w:rsid w:val="5E872DA8"/>
    <w:rsid w:val="5E8F7EF9"/>
    <w:rsid w:val="5EBD7F90"/>
    <w:rsid w:val="5EE4309A"/>
    <w:rsid w:val="5F082AF3"/>
    <w:rsid w:val="5F093102"/>
    <w:rsid w:val="5F233AEF"/>
    <w:rsid w:val="5F324950"/>
    <w:rsid w:val="5F41229A"/>
    <w:rsid w:val="5F437CD0"/>
    <w:rsid w:val="5F454D59"/>
    <w:rsid w:val="5F5105CE"/>
    <w:rsid w:val="5F511520"/>
    <w:rsid w:val="5F69359F"/>
    <w:rsid w:val="5F77100B"/>
    <w:rsid w:val="5F791BE7"/>
    <w:rsid w:val="5F8B4BF8"/>
    <w:rsid w:val="5F936274"/>
    <w:rsid w:val="5F955A34"/>
    <w:rsid w:val="5FAB0817"/>
    <w:rsid w:val="5FBC2E55"/>
    <w:rsid w:val="5FC01169"/>
    <w:rsid w:val="5FC344E2"/>
    <w:rsid w:val="5FC37FED"/>
    <w:rsid w:val="5FDD1E49"/>
    <w:rsid w:val="5FE53E1B"/>
    <w:rsid w:val="5FF35CD6"/>
    <w:rsid w:val="5FF76655"/>
    <w:rsid w:val="600747A3"/>
    <w:rsid w:val="60091233"/>
    <w:rsid w:val="6009184F"/>
    <w:rsid w:val="60127746"/>
    <w:rsid w:val="601C0C74"/>
    <w:rsid w:val="601E7DC7"/>
    <w:rsid w:val="603A6C4E"/>
    <w:rsid w:val="603B75C3"/>
    <w:rsid w:val="6043091E"/>
    <w:rsid w:val="60480A4C"/>
    <w:rsid w:val="606730C1"/>
    <w:rsid w:val="606F7F25"/>
    <w:rsid w:val="60910A76"/>
    <w:rsid w:val="60924859"/>
    <w:rsid w:val="60A41280"/>
    <w:rsid w:val="60A526A8"/>
    <w:rsid w:val="60A562A3"/>
    <w:rsid w:val="60AB5B56"/>
    <w:rsid w:val="60AF790C"/>
    <w:rsid w:val="60B779A8"/>
    <w:rsid w:val="60C74A21"/>
    <w:rsid w:val="60C831F4"/>
    <w:rsid w:val="60CE52B9"/>
    <w:rsid w:val="60DA5C59"/>
    <w:rsid w:val="60DB4D7D"/>
    <w:rsid w:val="60FF45EF"/>
    <w:rsid w:val="61090DC1"/>
    <w:rsid w:val="610D46BD"/>
    <w:rsid w:val="611267E4"/>
    <w:rsid w:val="6119753D"/>
    <w:rsid w:val="61204775"/>
    <w:rsid w:val="61286AAD"/>
    <w:rsid w:val="61313EBC"/>
    <w:rsid w:val="61337AFD"/>
    <w:rsid w:val="613442FF"/>
    <w:rsid w:val="6139218F"/>
    <w:rsid w:val="614C05AA"/>
    <w:rsid w:val="61580810"/>
    <w:rsid w:val="61767EA4"/>
    <w:rsid w:val="61787C40"/>
    <w:rsid w:val="61882FBB"/>
    <w:rsid w:val="618A58A7"/>
    <w:rsid w:val="618D4564"/>
    <w:rsid w:val="619204E3"/>
    <w:rsid w:val="61937468"/>
    <w:rsid w:val="619D0AAF"/>
    <w:rsid w:val="619F3565"/>
    <w:rsid w:val="61B44472"/>
    <w:rsid w:val="61B8608C"/>
    <w:rsid w:val="61BD3ED0"/>
    <w:rsid w:val="61C11C97"/>
    <w:rsid w:val="61D411F3"/>
    <w:rsid w:val="61E55B51"/>
    <w:rsid w:val="61E6404C"/>
    <w:rsid w:val="61E873B8"/>
    <w:rsid w:val="61EC4C74"/>
    <w:rsid w:val="61FC40A6"/>
    <w:rsid w:val="62000EFA"/>
    <w:rsid w:val="620F4D53"/>
    <w:rsid w:val="621057B3"/>
    <w:rsid w:val="62134383"/>
    <w:rsid w:val="621513B2"/>
    <w:rsid w:val="62156DDB"/>
    <w:rsid w:val="6217031D"/>
    <w:rsid w:val="62331E6C"/>
    <w:rsid w:val="623D7CE4"/>
    <w:rsid w:val="62501EA0"/>
    <w:rsid w:val="625422E5"/>
    <w:rsid w:val="625F1D02"/>
    <w:rsid w:val="6262026E"/>
    <w:rsid w:val="62662A38"/>
    <w:rsid w:val="62761878"/>
    <w:rsid w:val="6278504E"/>
    <w:rsid w:val="627C659E"/>
    <w:rsid w:val="628721B5"/>
    <w:rsid w:val="628B688F"/>
    <w:rsid w:val="629A65D4"/>
    <w:rsid w:val="62A621CE"/>
    <w:rsid w:val="62BA6FBB"/>
    <w:rsid w:val="62C26076"/>
    <w:rsid w:val="62D37D4A"/>
    <w:rsid w:val="62E2630E"/>
    <w:rsid w:val="62E573E1"/>
    <w:rsid w:val="62F4664A"/>
    <w:rsid w:val="62F85057"/>
    <w:rsid w:val="62FA262E"/>
    <w:rsid w:val="62FA297A"/>
    <w:rsid w:val="62FA7805"/>
    <w:rsid w:val="62FB6C99"/>
    <w:rsid w:val="62FE02AD"/>
    <w:rsid w:val="631A37CF"/>
    <w:rsid w:val="63265FFC"/>
    <w:rsid w:val="632E494D"/>
    <w:rsid w:val="6334245F"/>
    <w:rsid w:val="634B5A85"/>
    <w:rsid w:val="635B7C9E"/>
    <w:rsid w:val="637667B6"/>
    <w:rsid w:val="63817EB2"/>
    <w:rsid w:val="638A4608"/>
    <w:rsid w:val="638A60C5"/>
    <w:rsid w:val="63A63954"/>
    <w:rsid w:val="63A770F7"/>
    <w:rsid w:val="63A826DC"/>
    <w:rsid w:val="63AB4BBD"/>
    <w:rsid w:val="63BA62C8"/>
    <w:rsid w:val="63C71B22"/>
    <w:rsid w:val="63CA0FEC"/>
    <w:rsid w:val="63D32595"/>
    <w:rsid w:val="63D37B19"/>
    <w:rsid w:val="63E12A82"/>
    <w:rsid w:val="63E37587"/>
    <w:rsid w:val="63E76842"/>
    <w:rsid w:val="63EE2B01"/>
    <w:rsid w:val="63FF4117"/>
    <w:rsid w:val="64261C95"/>
    <w:rsid w:val="642A77F6"/>
    <w:rsid w:val="64351970"/>
    <w:rsid w:val="64414CB3"/>
    <w:rsid w:val="64465CCB"/>
    <w:rsid w:val="64490A76"/>
    <w:rsid w:val="644D4739"/>
    <w:rsid w:val="645B6400"/>
    <w:rsid w:val="64727B57"/>
    <w:rsid w:val="647913C7"/>
    <w:rsid w:val="64945019"/>
    <w:rsid w:val="64964F85"/>
    <w:rsid w:val="64A200D2"/>
    <w:rsid w:val="64C31649"/>
    <w:rsid w:val="64C774FB"/>
    <w:rsid w:val="64D27385"/>
    <w:rsid w:val="64D70E77"/>
    <w:rsid w:val="64E108F7"/>
    <w:rsid w:val="64E4430E"/>
    <w:rsid w:val="64F5116B"/>
    <w:rsid w:val="64F63B6A"/>
    <w:rsid w:val="64FB485A"/>
    <w:rsid w:val="6501434F"/>
    <w:rsid w:val="6509767F"/>
    <w:rsid w:val="65176B78"/>
    <w:rsid w:val="65191F58"/>
    <w:rsid w:val="6552510A"/>
    <w:rsid w:val="655345F8"/>
    <w:rsid w:val="65614C68"/>
    <w:rsid w:val="656E7B61"/>
    <w:rsid w:val="6574089B"/>
    <w:rsid w:val="6585368D"/>
    <w:rsid w:val="65921AA2"/>
    <w:rsid w:val="65921CC9"/>
    <w:rsid w:val="659249F3"/>
    <w:rsid w:val="65941128"/>
    <w:rsid w:val="65A42D5D"/>
    <w:rsid w:val="65B512EC"/>
    <w:rsid w:val="65D50B3A"/>
    <w:rsid w:val="65DD0DB0"/>
    <w:rsid w:val="65E309BA"/>
    <w:rsid w:val="65E5064A"/>
    <w:rsid w:val="65F84280"/>
    <w:rsid w:val="66054DA2"/>
    <w:rsid w:val="660821AD"/>
    <w:rsid w:val="66086DC4"/>
    <w:rsid w:val="660D5E07"/>
    <w:rsid w:val="66363795"/>
    <w:rsid w:val="663C2308"/>
    <w:rsid w:val="6641669D"/>
    <w:rsid w:val="664A412A"/>
    <w:rsid w:val="664F05D4"/>
    <w:rsid w:val="6651027F"/>
    <w:rsid w:val="66595958"/>
    <w:rsid w:val="66680388"/>
    <w:rsid w:val="666F1DE3"/>
    <w:rsid w:val="66743C40"/>
    <w:rsid w:val="667851A8"/>
    <w:rsid w:val="66865B8F"/>
    <w:rsid w:val="668673D7"/>
    <w:rsid w:val="66882C3A"/>
    <w:rsid w:val="669725E5"/>
    <w:rsid w:val="669F27A2"/>
    <w:rsid w:val="66C764F3"/>
    <w:rsid w:val="66CF77FB"/>
    <w:rsid w:val="66FC5136"/>
    <w:rsid w:val="670855CA"/>
    <w:rsid w:val="670901AC"/>
    <w:rsid w:val="67182B4E"/>
    <w:rsid w:val="671D183F"/>
    <w:rsid w:val="673945BE"/>
    <w:rsid w:val="67477D76"/>
    <w:rsid w:val="675F072A"/>
    <w:rsid w:val="67614492"/>
    <w:rsid w:val="676A30F0"/>
    <w:rsid w:val="677449DD"/>
    <w:rsid w:val="677B3BB8"/>
    <w:rsid w:val="67805064"/>
    <w:rsid w:val="67862556"/>
    <w:rsid w:val="67921A29"/>
    <w:rsid w:val="67CE499C"/>
    <w:rsid w:val="67ED11DA"/>
    <w:rsid w:val="67F97E2C"/>
    <w:rsid w:val="68120826"/>
    <w:rsid w:val="68143178"/>
    <w:rsid w:val="68146AF0"/>
    <w:rsid w:val="68191CEE"/>
    <w:rsid w:val="681C4219"/>
    <w:rsid w:val="6830403E"/>
    <w:rsid w:val="68494C73"/>
    <w:rsid w:val="684E5280"/>
    <w:rsid w:val="686F54F7"/>
    <w:rsid w:val="68703A89"/>
    <w:rsid w:val="68736734"/>
    <w:rsid w:val="68764983"/>
    <w:rsid w:val="687A0832"/>
    <w:rsid w:val="68886988"/>
    <w:rsid w:val="688E68BE"/>
    <w:rsid w:val="689A0B09"/>
    <w:rsid w:val="68A92F07"/>
    <w:rsid w:val="68AB7900"/>
    <w:rsid w:val="68B825F5"/>
    <w:rsid w:val="68BE568E"/>
    <w:rsid w:val="68D40505"/>
    <w:rsid w:val="68DD12F0"/>
    <w:rsid w:val="68E27F24"/>
    <w:rsid w:val="68E3675F"/>
    <w:rsid w:val="68F901AD"/>
    <w:rsid w:val="690C3919"/>
    <w:rsid w:val="69296E90"/>
    <w:rsid w:val="69410B2F"/>
    <w:rsid w:val="69473CEF"/>
    <w:rsid w:val="694E761A"/>
    <w:rsid w:val="69596F9E"/>
    <w:rsid w:val="695D5033"/>
    <w:rsid w:val="696B483B"/>
    <w:rsid w:val="696E6CD6"/>
    <w:rsid w:val="698060B5"/>
    <w:rsid w:val="69810522"/>
    <w:rsid w:val="69855794"/>
    <w:rsid w:val="69912070"/>
    <w:rsid w:val="699A135A"/>
    <w:rsid w:val="699E6028"/>
    <w:rsid w:val="69AE1EC6"/>
    <w:rsid w:val="69C42502"/>
    <w:rsid w:val="69D9209B"/>
    <w:rsid w:val="69E3448F"/>
    <w:rsid w:val="69E46644"/>
    <w:rsid w:val="69F26749"/>
    <w:rsid w:val="69FF2EAC"/>
    <w:rsid w:val="6A18300E"/>
    <w:rsid w:val="6A1914E1"/>
    <w:rsid w:val="6A1A0B0D"/>
    <w:rsid w:val="6A1D5557"/>
    <w:rsid w:val="6A290E39"/>
    <w:rsid w:val="6A410F3E"/>
    <w:rsid w:val="6A4D6FDE"/>
    <w:rsid w:val="6A5A4B58"/>
    <w:rsid w:val="6A622155"/>
    <w:rsid w:val="6A683E40"/>
    <w:rsid w:val="6A794FDE"/>
    <w:rsid w:val="6A81438B"/>
    <w:rsid w:val="6A8F6CF6"/>
    <w:rsid w:val="6A9B7513"/>
    <w:rsid w:val="6AA676AB"/>
    <w:rsid w:val="6AB61964"/>
    <w:rsid w:val="6AE0238F"/>
    <w:rsid w:val="6AEB7D56"/>
    <w:rsid w:val="6AEE4AA1"/>
    <w:rsid w:val="6AF528C8"/>
    <w:rsid w:val="6B022560"/>
    <w:rsid w:val="6B1C3291"/>
    <w:rsid w:val="6B247DDB"/>
    <w:rsid w:val="6B3C171C"/>
    <w:rsid w:val="6B4362DF"/>
    <w:rsid w:val="6B4A4137"/>
    <w:rsid w:val="6B4A4702"/>
    <w:rsid w:val="6B50030B"/>
    <w:rsid w:val="6B504EF3"/>
    <w:rsid w:val="6B531325"/>
    <w:rsid w:val="6B546F14"/>
    <w:rsid w:val="6B5C2455"/>
    <w:rsid w:val="6B604690"/>
    <w:rsid w:val="6B662A89"/>
    <w:rsid w:val="6B680BAF"/>
    <w:rsid w:val="6B7F320A"/>
    <w:rsid w:val="6B816D1B"/>
    <w:rsid w:val="6B821DD1"/>
    <w:rsid w:val="6B886ACB"/>
    <w:rsid w:val="6B99149D"/>
    <w:rsid w:val="6B9A6BDE"/>
    <w:rsid w:val="6B9E618F"/>
    <w:rsid w:val="6BC70F58"/>
    <w:rsid w:val="6BD44496"/>
    <w:rsid w:val="6BFD2F22"/>
    <w:rsid w:val="6BFD4879"/>
    <w:rsid w:val="6C085419"/>
    <w:rsid w:val="6C2E4DB2"/>
    <w:rsid w:val="6C307D28"/>
    <w:rsid w:val="6C31397A"/>
    <w:rsid w:val="6C353285"/>
    <w:rsid w:val="6C4775B2"/>
    <w:rsid w:val="6C4F3A3C"/>
    <w:rsid w:val="6C6F424F"/>
    <w:rsid w:val="6C733D3D"/>
    <w:rsid w:val="6C7635B9"/>
    <w:rsid w:val="6C897464"/>
    <w:rsid w:val="6C994030"/>
    <w:rsid w:val="6CA40752"/>
    <w:rsid w:val="6CC6045D"/>
    <w:rsid w:val="6CCF1591"/>
    <w:rsid w:val="6CCF41D4"/>
    <w:rsid w:val="6CCF7352"/>
    <w:rsid w:val="6CE15C09"/>
    <w:rsid w:val="6CEC2A3A"/>
    <w:rsid w:val="6D1E0AEF"/>
    <w:rsid w:val="6D26511D"/>
    <w:rsid w:val="6D33231B"/>
    <w:rsid w:val="6D535020"/>
    <w:rsid w:val="6D5A1F4C"/>
    <w:rsid w:val="6D5F6DC8"/>
    <w:rsid w:val="6D6B753F"/>
    <w:rsid w:val="6D912CFE"/>
    <w:rsid w:val="6D926710"/>
    <w:rsid w:val="6DA24504"/>
    <w:rsid w:val="6DA80C31"/>
    <w:rsid w:val="6DAE5EBE"/>
    <w:rsid w:val="6DC43F8D"/>
    <w:rsid w:val="6DC44E36"/>
    <w:rsid w:val="6DD23840"/>
    <w:rsid w:val="6DD47517"/>
    <w:rsid w:val="6DD512ED"/>
    <w:rsid w:val="6DF82737"/>
    <w:rsid w:val="6E3E0D3C"/>
    <w:rsid w:val="6E4362FC"/>
    <w:rsid w:val="6E4419BB"/>
    <w:rsid w:val="6E4C15D8"/>
    <w:rsid w:val="6E557B10"/>
    <w:rsid w:val="6E5F2C6D"/>
    <w:rsid w:val="6E61463C"/>
    <w:rsid w:val="6E6D64F0"/>
    <w:rsid w:val="6E793AB8"/>
    <w:rsid w:val="6E9F295B"/>
    <w:rsid w:val="6EA37EE9"/>
    <w:rsid w:val="6EAA36A7"/>
    <w:rsid w:val="6EAA7659"/>
    <w:rsid w:val="6EB24F70"/>
    <w:rsid w:val="6ECC76A7"/>
    <w:rsid w:val="6ED25178"/>
    <w:rsid w:val="6ED86C5B"/>
    <w:rsid w:val="6EE7024D"/>
    <w:rsid w:val="6EEB6BAB"/>
    <w:rsid w:val="6EED4691"/>
    <w:rsid w:val="6EFB6BC6"/>
    <w:rsid w:val="6EFE0309"/>
    <w:rsid w:val="6F02395E"/>
    <w:rsid w:val="6F0E6C06"/>
    <w:rsid w:val="6F0F1BC7"/>
    <w:rsid w:val="6F131AF7"/>
    <w:rsid w:val="6F1B215E"/>
    <w:rsid w:val="6F202F41"/>
    <w:rsid w:val="6F224150"/>
    <w:rsid w:val="6F2B7334"/>
    <w:rsid w:val="6F2F5CAC"/>
    <w:rsid w:val="6F3E28EB"/>
    <w:rsid w:val="6F433D24"/>
    <w:rsid w:val="6F4A418F"/>
    <w:rsid w:val="6F61159C"/>
    <w:rsid w:val="6F741428"/>
    <w:rsid w:val="6F764476"/>
    <w:rsid w:val="6F77567F"/>
    <w:rsid w:val="6F7C2B68"/>
    <w:rsid w:val="6F7D3647"/>
    <w:rsid w:val="6F7E5639"/>
    <w:rsid w:val="6F8153D5"/>
    <w:rsid w:val="6F834759"/>
    <w:rsid w:val="6F8C4DB9"/>
    <w:rsid w:val="6F8D1193"/>
    <w:rsid w:val="6F9F709B"/>
    <w:rsid w:val="6FA05D7F"/>
    <w:rsid w:val="6FA420E7"/>
    <w:rsid w:val="6FB50862"/>
    <w:rsid w:val="6FBB4E5C"/>
    <w:rsid w:val="6FE535B7"/>
    <w:rsid w:val="6FF23F3A"/>
    <w:rsid w:val="6FF7031F"/>
    <w:rsid w:val="6FFD3769"/>
    <w:rsid w:val="6FFE5C40"/>
    <w:rsid w:val="70065186"/>
    <w:rsid w:val="700779BA"/>
    <w:rsid w:val="701B627A"/>
    <w:rsid w:val="701E425E"/>
    <w:rsid w:val="70291255"/>
    <w:rsid w:val="70307113"/>
    <w:rsid w:val="70344DC9"/>
    <w:rsid w:val="703534E1"/>
    <w:rsid w:val="703A4681"/>
    <w:rsid w:val="703B6CE6"/>
    <w:rsid w:val="704237C2"/>
    <w:rsid w:val="70633451"/>
    <w:rsid w:val="707178DB"/>
    <w:rsid w:val="70741DA4"/>
    <w:rsid w:val="70890A7A"/>
    <w:rsid w:val="70A40957"/>
    <w:rsid w:val="70A87FE7"/>
    <w:rsid w:val="70A95865"/>
    <w:rsid w:val="70B05D9A"/>
    <w:rsid w:val="70B51446"/>
    <w:rsid w:val="70D22C67"/>
    <w:rsid w:val="70DC1018"/>
    <w:rsid w:val="70E54E73"/>
    <w:rsid w:val="70FC350F"/>
    <w:rsid w:val="70FE2B8F"/>
    <w:rsid w:val="70FE448F"/>
    <w:rsid w:val="71013EEA"/>
    <w:rsid w:val="71157051"/>
    <w:rsid w:val="711B7489"/>
    <w:rsid w:val="71215709"/>
    <w:rsid w:val="712835BB"/>
    <w:rsid w:val="71436554"/>
    <w:rsid w:val="714C3681"/>
    <w:rsid w:val="717F325B"/>
    <w:rsid w:val="7180098A"/>
    <w:rsid w:val="7182183A"/>
    <w:rsid w:val="718D7764"/>
    <w:rsid w:val="71952CF0"/>
    <w:rsid w:val="7197059F"/>
    <w:rsid w:val="71A35F4F"/>
    <w:rsid w:val="71A8173F"/>
    <w:rsid w:val="71B30968"/>
    <w:rsid w:val="71C2657D"/>
    <w:rsid w:val="71C41835"/>
    <w:rsid w:val="71C85D97"/>
    <w:rsid w:val="71CD32A7"/>
    <w:rsid w:val="71FC6FDA"/>
    <w:rsid w:val="71FE77E7"/>
    <w:rsid w:val="722B2AC5"/>
    <w:rsid w:val="722D7C29"/>
    <w:rsid w:val="723C30FC"/>
    <w:rsid w:val="72415C6E"/>
    <w:rsid w:val="72456FFE"/>
    <w:rsid w:val="725919A2"/>
    <w:rsid w:val="72603ACB"/>
    <w:rsid w:val="72610A66"/>
    <w:rsid w:val="72691324"/>
    <w:rsid w:val="7274361A"/>
    <w:rsid w:val="729B48C1"/>
    <w:rsid w:val="72A4498D"/>
    <w:rsid w:val="72A77D1E"/>
    <w:rsid w:val="72AE0FB2"/>
    <w:rsid w:val="72D517CB"/>
    <w:rsid w:val="72D925C4"/>
    <w:rsid w:val="72F51376"/>
    <w:rsid w:val="730A746E"/>
    <w:rsid w:val="73242CE1"/>
    <w:rsid w:val="73292FAE"/>
    <w:rsid w:val="734434BF"/>
    <w:rsid w:val="736410F2"/>
    <w:rsid w:val="7379550F"/>
    <w:rsid w:val="737D689B"/>
    <w:rsid w:val="73A53CE8"/>
    <w:rsid w:val="73A6170B"/>
    <w:rsid w:val="73B033FC"/>
    <w:rsid w:val="73B579E7"/>
    <w:rsid w:val="73BD2DE2"/>
    <w:rsid w:val="73C146FD"/>
    <w:rsid w:val="73C7103D"/>
    <w:rsid w:val="73E87BB6"/>
    <w:rsid w:val="73F21654"/>
    <w:rsid w:val="74093B67"/>
    <w:rsid w:val="74121AB7"/>
    <w:rsid w:val="74137EFF"/>
    <w:rsid w:val="741A726A"/>
    <w:rsid w:val="742817A0"/>
    <w:rsid w:val="7434789C"/>
    <w:rsid w:val="743620AB"/>
    <w:rsid w:val="743D53EC"/>
    <w:rsid w:val="744A0F12"/>
    <w:rsid w:val="744D5A84"/>
    <w:rsid w:val="746B2E35"/>
    <w:rsid w:val="74763712"/>
    <w:rsid w:val="74822CE1"/>
    <w:rsid w:val="748527D2"/>
    <w:rsid w:val="748F74EF"/>
    <w:rsid w:val="74925631"/>
    <w:rsid w:val="74BA2FC6"/>
    <w:rsid w:val="74C13C80"/>
    <w:rsid w:val="74C168CD"/>
    <w:rsid w:val="74C17C4F"/>
    <w:rsid w:val="74D07EF1"/>
    <w:rsid w:val="74D33D47"/>
    <w:rsid w:val="74DE754D"/>
    <w:rsid w:val="74E34D95"/>
    <w:rsid w:val="74E55A60"/>
    <w:rsid w:val="74F619EA"/>
    <w:rsid w:val="75064AAE"/>
    <w:rsid w:val="750A47B1"/>
    <w:rsid w:val="750F15BE"/>
    <w:rsid w:val="75130F44"/>
    <w:rsid w:val="751D6D4F"/>
    <w:rsid w:val="753211D7"/>
    <w:rsid w:val="75340035"/>
    <w:rsid w:val="7559062E"/>
    <w:rsid w:val="755C1784"/>
    <w:rsid w:val="757147B4"/>
    <w:rsid w:val="757A1C0A"/>
    <w:rsid w:val="75802507"/>
    <w:rsid w:val="758B2E14"/>
    <w:rsid w:val="75905155"/>
    <w:rsid w:val="7592615B"/>
    <w:rsid w:val="759F7ACB"/>
    <w:rsid w:val="75AE5C2C"/>
    <w:rsid w:val="75F263DE"/>
    <w:rsid w:val="75FA240A"/>
    <w:rsid w:val="75FF7929"/>
    <w:rsid w:val="760745B0"/>
    <w:rsid w:val="760D2474"/>
    <w:rsid w:val="760E686D"/>
    <w:rsid w:val="76204CD2"/>
    <w:rsid w:val="76441071"/>
    <w:rsid w:val="764D5571"/>
    <w:rsid w:val="76535E73"/>
    <w:rsid w:val="766672B0"/>
    <w:rsid w:val="766C65C4"/>
    <w:rsid w:val="76702304"/>
    <w:rsid w:val="76723CFA"/>
    <w:rsid w:val="76730F51"/>
    <w:rsid w:val="76B03A42"/>
    <w:rsid w:val="76BF5471"/>
    <w:rsid w:val="76CD1140"/>
    <w:rsid w:val="76CE0ED1"/>
    <w:rsid w:val="76CF00C8"/>
    <w:rsid w:val="76D11CF2"/>
    <w:rsid w:val="76E25CB9"/>
    <w:rsid w:val="76F109F3"/>
    <w:rsid w:val="77042E25"/>
    <w:rsid w:val="771677B0"/>
    <w:rsid w:val="77173EAC"/>
    <w:rsid w:val="77183344"/>
    <w:rsid w:val="773641E5"/>
    <w:rsid w:val="774D3E2D"/>
    <w:rsid w:val="774F4FD9"/>
    <w:rsid w:val="7756042F"/>
    <w:rsid w:val="77611B60"/>
    <w:rsid w:val="7761204D"/>
    <w:rsid w:val="77766032"/>
    <w:rsid w:val="7782124A"/>
    <w:rsid w:val="779544C6"/>
    <w:rsid w:val="77A30E07"/>
    <w:rsid w:val="77B330D5"/>
    <w:rsid w:val="77B56A42"/>
    <w:rsid w:val="77C17FEB"/>
    <w:rsid w:val="77C74C2C"/>
    <w:rsid w:val="77CE5BE1"/>
    <w:rsid w:val="77E34ABA"/>
    <w:rsid w:val="77F03FDA"/>
    <w:rsid w:val="77F061DD"/>
    <w:rsid w:val="77F75794"/>
    <w:rsid w:val="780254D2"/>
    <w:rsid w:val="781667CA"/>
    <w:rsid w:val="781D3DAA"/>
    <w:rsid w:val="782104F9"/>
    <w:rsid w:val="78416A70"/>
    <w:rsid w:val="784D29EB"/>
    <w:rsid w:val="78690E08"/>
    <w:rsid w:val="786F6665"/>
    <w:rsid w:val="78810460"/>
    <w:rsid w:val="788259A6"/>
    <w:rsid w:val="78844251"/>
    <w:rsid w:val="789712D3"/>
    <w:rsid w:val="78A10E53"/>
    <w:rsid w:val="78A4249C"/>
    <w:rsid w:val="78AE785F"/>
    <w:rsid w:val="78B06154"/>
    <w:rsid w:val="78B77E15"/>
    <w:rsid w:val="78ED38EB"/>
    <w:rsid w:val="78F22D42"/>
    <w:rsid w:val="78F86174"/>
    <w:rsid w:val="790E7239"/>
    <w:rsid w:val="792755DC"/>
    <w:rsid w:val="792A7CC8"/>
    <w:rsid w:val="79402E8A"/>
    <w:rsid w:val="794514C8"/>
    <w:rsid w:val="796A6A56"/>
    <w:rsid w:val="79901F56"/>
    <w:rsid w:val="79A0094C"/>
    <w:rsid w:val="79A9019E"/>
    <w:rsid w:val="79B747EC"/>
    <w:rsid w:val="79B8083C"/>
    <w:rsid w:val="79BD4970"/>
    <w:rsid w:val="79BD717A"/>
    <w:rsid w:val="79C75C56"/>
    <w:rsid w:val="79CC4773"/>
    <w:rsid w:val="79F1574D"/>
    <w:rsid w:val="79F560D5"/>
    <w:rsid w:val="7A0471C8"/>
    <w:rsid w:val="7A0C5059"/>
    <w:rsid w:val="7A1523EA"/>
    <w:rsid w:val="7A1B5FDB"/>
    <w:rsid w:val="7A1F42F7"/>
    <w:rsid w:val="7A3051A4"/>
    <w:rsid w:val="7A360B8B"/>
    <w:rsid w:val="7A3D67BD"/>
    <w:rsid w:val="7A3E3B4E"/>
    <w:rsid w:val="7A3E4994"/>
    <w:rsid w:val="7A500745"/>
    <w:rsid w:val="7A724452"/>
    <w:rsid w:val="7A784587"/>
    <w:rsid w:val="7A7A2514"/>
    <w:rsid w:val="7A7E01F8"/>
    <w:rsid w:val="7A847AAD"/>
    <w:rsid w:val="7A8578A6"/>
    <w:rsid w:val="7A861298"/>
    <w:rsid w:val="7A86136F"/>
    <w:rsid w:val="7A927BD1"/>
    <w:rsid w:val="7A931A00"/>
    <w:rsid w:val="7AAF24B0"/>
    <w:rsid w:val="7AB42DA3"/>
    <w:rsid w:val="7AB979D1"/>
    <w:rsid w:val="7AC31AD3"/>
    <w:rsid w:val="7AE279DE"/>
    <w:rsid w:val="7AF3048C"/>
    <w:rsid w:val="7B066428"/>
    <w:rsid w:val="7B117CCD"/>
    <w:rsid w:val="7B133142"/>
    <w:rsid w:val="7B134300"/>
    <w:rsid w:val="7B22521E"/>
    <w:rsid w:val="7B263D55"/>
    <w:rsid w:val="7B281992"/>
    <w:rsid w:val="7B354B8E"/>
    <w:rsid w:val="7B430CF1"/>
    <w:rsid w:val="7B4612E8"/>
    <w:rsid w:val="7B480A80"/>
    <w:rsid w:val="7B486D67"/>
    <w:rsid w:val="7B4A6528"/>
    <w:rsid w:val="7B5D09C5"/>
    <w:rsid w:val="7B6B5909"/>
    <w:rsid w:val="7B847A30"/>
    <w:rsid w:val="7B9A7DF7"/>
    <w:rsid w:val="7B9E7B03"/>
    <w:rsid w:val="7BA175B6"/>
    <w:rsid w:val="7BB4200A"/>
    <w:rsid w:val="7BBD0C0A"/>
    <w:rsid w:val="7BC96BBE"/>
    <w:rsid w:val="7BCF3BA5"/>
    <w:rsid w:val="7BE53837"/>
    <w:rsid w:val="7BE60AE4"/>
    <w:rsid w:val="7BE9311A"/>
    <w:rsid w:val="7BF37C8D"/>
    <w:rsid w:val="7C1872B1"/>
    <w:rsid w:val="7C1B1AB2"/>
    <w:rsid w:val="7C1E2225"/>
    <w:rsid w:val="7C2C76B2"/>
    <w:rsid w:val="7C2E7930"/>
    <w:rsid w:val="7C3537CC"/>
    <w:rsid w:val="7C455F5C"/>
    <w:rsid w:val="7C4708B2"/>
    <w:rsid w:val="7C504E5F"/>
    <w:rsid w:val="7C605706"/>
    <w:rsid w:val="7C7F149A"/>
    <w:rsid w:val="7C7F6464"/>
    <w:rsid w:val="7C856D5C"/>
    <w:rsid w:val="7CA507B1"/>
    <w:rsid w:val="7CB64F9C"/>
    <w:rsid w:val="7CC16FF5"/>
    <w:rsid w:val="7CC47560"/>
    <w:rsid w:val="7CCC2DCC"/>
    <w:rsid w:val="7CCE614A"/>
    <w:rsid w:val="7CDA5697"/>
    <w:rsid w:val="7CE264F3"/>
    <w:rsid w:val="7CE72722"/>
    <w:rsid w:val="7CF85C26"/>
    <w:rsid w:val="7CFA4D3A"/>
    <w:rsid w:val="7D004E05"/>
    <w:rsid w:val="7D352620"/>
    <w:rsid w:val="7D3E56FD"/>
    <w:rsid w:val="7D4E5163"/>
    <w:rsid w:val="7D7B2DE3"/>
    <w:rsid w:val="7D8675B9"/>
    <w:rsid w:val="7D93256E"/>
    <w:rsid w:val="7D96482C"/>
    <w:rsid w:val="7DB12889"/>
    <w:rsid w:val="7DBC2289"/>
    <w:rsid w:val="7DE642E1"/>
    <w:rsid w:val="7DEF0D9B"/>
    <w:rsid w:val="7DFB4817"/>
    <w:rsid w:val="7E0624AF"/>
    <w:rsid w:val="7E0761C6"/>
    <w:rsid w:val="7E0A5E63"/>
    <w:rsid w:val="7E0B2A9C"/>
    <w:rsid w:val="7E0B4774"/>
    <w:rsid w:val="7E160002"/>
    <w:rsid w:val="7E3A400A"/>
    <w:rsid w:val="7E3B6107"/>
    <w:rsid w:val="7E4037BC"/>
    <w:rsid w:val="7E450600"/>
    <w:rsid w:val="7E480A69"/>
    <w:rsid w:val="7E5704FB"/>
    <w:rsid w:val="7E5E656D"/>
    <w:rsid w:val="7E6C3360"/>
    <w:rsid w:val="7E7933A7"/>
    <w:rsid w:val="7E7F3C3C"/>
    <w:rsid w:val="7E8340C9"/>
    <w:rsid w:val="7E8E1568"/>
    <w:rsid w:val="7E9830DA"/>
    <w:rsid w:val="7EAD3051"/>
    <w:rsid w:val="7EBA0464"/>
    <w:rsid w:val="7EC81F3C"/>
    <w:rsid w:val="7EC93614"/>
    <w:rsid w:val="7ECF3225"/>
    <w:rsid w:val="7EE277FD"/>
    <w:rsid w:val="7EEA2E2A"/>
    <w:rsid w:val="7F100CBD"/>
    <w:rsid w:val="7F166366"/>
    <w:rsid w:val="7F277D80"/>
    <w:rsid w:val="7F343335"/>
    <w:rsid w:val="7F38386B"/>
    <w:rsid w:val="7F3B19CE"/>
    <w:rsid w:val="7F421ABF"/>
    <w:rsid w:val="7F4A5C9B"/>
    <w:rsid w:val="7F501C36"/>
    <w:rsid w:val="7F5D46B5"/>
    <w:rsid w:val="7F6455AA"/>
    <w:rsid w:val="7F853B09"/>
    <w:rsid w:val="7F8D0664"/>
    <w:rsid w:val="7FA624BA"/>
    <w:rsid w:val="7FB126CD"/>
    <w:rsid w:val="7FB46A34"/>
    <w:rsid w:val="7FB46B49"/>
    <w:rsid w:val="7FE42AB6"/>
    <w:rsid w:val="7FF61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106"/>
    <w:qFormat/>
    <w:uiPriority w:val="0"/>
    <w:pPr>
      <w:keepNext/>
      <w:keepLines/>
      <w:spacing w:line="576" w:lineRule="auto"/>
      <w:outlineLvl w:val="0"/>
    </w:pPr>
    <w:rPr>
      <w:rFonts w:eastAsia="宋体"/>
      <w:b/>
      <w:bCs/>
      <w:kern w:val="44"/>
      <w:sz w:val="44"/>
      <w:szCs w:val="44"/>
    </w:rPr>
  </w:style>
  <w:style w:type="paragraph" w:styleId="3">
    <w:name w:val="heading 2"/>
    <w:basedOn w:val="1"/>
    <w:next w:val="1"/>
    <w:link w:val="133"/>
    <w:unhideWhenUsed/>
    <w:qFormat/>
    <w:uiPriority w:val="0"/>
    <w:pPr>
      <w:keepNext/>
      <w:keepLines/>
      <w:spacing w:line="413" w:lineRule="auto"/>
      <w:outlineLvl w:val="1"/>
    </w:pPr>
    <w:rPr>
      <w:rFonts w:ascii="Arial" w:hAnsi="Arial" w:eastAsia="黑体"/>
      <w:b/>
      <w:bCs/>
      <w:sz w:val="32"/>
      <w:szCs w:val="32"/>
    </w:rPr>
  </w:style>
  <w:style w:type="paragraph" w:styleId="4">
    <w:name w:val="heading 3"/>
    <w:basedOn w:val="1"/>
    <w:next w:val="1"/>
    <w:link w:val="120"/>
    <w:qFormat/>
    <w:uiPriority w:val="0"/>
    <w:pPr>
      <w:numPr>
        <w:ilvl w:val="2"/>
        <w:numId w:val="1"/>
      </w:numPr>
      <w:adjustRightInd w:val="0"/>
      <w:spacing w:beforeLines="50" w:afterLines="50"/>
      <w:jc w:val="left"/>
      <w:outlineLvl w:val="2"/>
    </w:pPr>
    <w:rPr>
      <w:rFonts w:ascii="Times New Roman" w:hAnsi="Times New Roman"/>
      <w:b/>
      <w:bCs/>
      <w:sz w:val="32"/>
      <w:szCs w:val="32"/>
    </w:rPr>
  </w:style>
  <w:style w:type="paragraph" w:styleId="5">
    <w:name w:val="heading 4"/>
    <w:basedOn w:val="1"/>
    <w:next w:val="1"/>
    <w:qFormat/>
    <w:uiPriority w:val="0"/>
    <w:pPr>
      <w:keepNext/>
      <w:keepLines/>
      <w:widowControl/>
      <w:numPr>
        <w:ilvl w:val="3"/>
        <w:numId w:val="1"/>
      </w:numPr>
      <w:adjustRightInd w:val="0"/>
      <w:spacing w:before="120" w:after="120"/>
      <w:jc w:val="left"/>
      <w:outlineLvl w:val="3"/>
    </w:pPr>
    <w:rPr>
      <w:rFonts w:ascii="Arial" w:hAnsi="Arial"/>
      <w:b/>
      <w:bCs/>
      <w:sz w:val="30"/>
      <w:szCs w:val="28"/>
    </w:rPr>
  </w:style>
  <w:style w:type="paragraph" w:styleId="6">
    <w:name w:val="heading 5"/>
    <w:basedOn w:val="1"/>
    <w:next w:val="1"/>
    <w:link w:val="102"/>
    <w:unhideWhenUsed/>
    <w:qFormat/>
    <w:uiPriority w:val="0"/>
    <w:pPr>
      <w:keepNext/>
      <w:keepLines/>
      <w:widowControl/>
      <w:spacing w:before="120" w:after="120" w:line="360" w:lineRule="auto"/>
      <w:ind w:firstLine="499"/>
      <w:jc w:val="left"/>
      <w:outlineLvl w:val="4"/>
    </w:pPr>
    <w:rPr>
      <w:rFonts w:ascii="宋体" w:hAnsi="宋体"/>
      <w:b/>
      <w:kern w:val="0"/>
      <w:szCs w:val="20"/>
    </w:rPr>
  </w:style>
  <w:style w:type="paragraph" w:styleId="7">
    <w:name w:val="heading 6"/>
    <w:basedOn w:val="1"/>
    <w:next w:val="1"/>
    <w:semiHidden/>
    <w:unhideWhenUsed/>
    <w:qFormat/>
    <w:uiPriority w:val="0"/>
    <w:pPr>
      <w:spacing w:beforeAutospacing="1" w:afterAutospacing="1"/>
      <w:jc w:val="left"/>
      <w:outlineLvl w:val="5"/>
    </w:pPr>
    <w:rPr>
      <w:rFonts w:hint="eastAsia" w:ascii="宋体" w:hAnsi="宋体" w:eastAsia="宋体" w:cs="Times New Roman"/>
      <w:b/>
      <w:bCs/>
      <w:kern w:val="0"/>
      <w:sz w:val="15"/>
      <w:szCs w:val="15"/>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Calibri" w:hAnsi="Calibri" w:eastAsia="宋体" w:cs="Times New Roman"/>
      <w:sz w:val="21"/>
    </w:rPr>
  </w:style>
  <w:style w:type="paragraph" w:styleId="9">
    <w:name w:val="table of authorities"/>
    <w:basedOn w:val="1"/>
    <w:next w:val="1"/>
    <w:qFormat/>
    <w:uiPriority w:val="0"/>
    <w:pPr>
      <w:ind w:left="420" w:leftChars="100"/>
    </w:pPr>
  </w:style>
  <w:style w:type="paragraph" w:styleId="10">
    <w:name w:val="Normal Indent"/>
    <w:basedOn w:val="1"/>
    <w:qFormat/>
    <w:uiPriority w:val="0"/>
    <w:pPr>
      <w:ind w:firstLine="420"/>
    </w:pPr>
    <w:rPr>
      <w:rFonts w:eastAsia="宋体"/>
      <w:sz w:val="21"/>
      <w:szCs w:val="20"/>
    </w:rPr>
  </w:style>
  <w:style w:type="paragraph" w:styleId="11">
    <w:name w:val="annotation text"/>
    <w:basedOn w:val="1"/>
    <w:link w:val="91"/>
    <w:qFormat/>
    <w:uiPriority w:val="0"/>
    <w:pPr>
      <w:jc w:val="left"/>
    </w:pPr>
  </w:style>
  <w:style w:type="paragraph" w:styleId="12">
    <w:name w:val="Body Text 3"/>
    <w:basedOn w:val="1"/>
    <w:link w:val="123"/>
    <w:qFormat/>
    <w:uiPriority w:val="0"/>
    <w:rPr>
      <w:rFonts w:ascii="宋体" w:hAnsi="Times New Roman" w:eastAsia="宋体" w:cs="Times New Roman"/>
      <w:kern w:val="0"/>
      <w:szCs w:val="20"/>
    </w:rPr>
  </w:style>
  <w:style w:type="paragraph" w:styleId="13">
    <w:name w:val="Body Text"/>
    <w:basedOn w:val="1"/>
    <w:next w:val="1"/>
    <w:link w:val="115"/>
    <w:qFormat/>
    <w:uiPriority w:val="0"/>
  </w:style>
  <w:style w:type="paragraph" w:styleId="14">
    <w:name w:val="Body Text Indent"/>
    <w:basedOn w:val="1"/>
    <w:qFormat/>
    <w:uiPriority w:val="0"/>
    <w:pPr>
      <w:spacing w:line="640" w:lineRule="exact"/>
      <w:ind w:firstLine="585"/>
    </w:pPr>
    <w:rPr>
      <w:rFonts w:ascii="楷体_GB2312" w:eastAsia="楷体_GB2312"/>
      <w:sz w:val="32"/>
    </w:rPr>
  </w:style>
  <w:style w:type="paragraph" w:styleId="15">
    <w:name w:val="toc 5"/>
    <w:basedOn w:val="1"/>
    <w:next w:val="1"/>
    <w:unhideWhenUsed/>
    <w:qFormat/>
    <w:uiPriority w:val="39"/>
    <w:pPr>
      <w:ind w:left="1680" w:leftChars="800"/>
    </w:pPr>
    <w:rPr>
      <w:rFonts w:ascii="Calibri" w:hAnsi="Calibri" w:eastAsia="宋体" w:cs="Times New Roman"/>
      <w:sz w:val="21"/>
    </w:rPr>
  </w:style>
  <w:style w:type="paragraph" w:styleId="16">
    <w:name w:val="toc 3"/>
    <w:basedOn w:val="1"/>
    <w:next w:val="1"/>
    <w:qFormat/>
    <w:uiPriority w:val="39"/>
    <w:pPr>
      <w:jc w:val="left"/>
    </w:pPr>
    <w:rPr>
      <w:rFonts w:ascii="Times New Roman" w:hAnsi="Times New Roman" w:eastAsia="华文细黑" w:cs="Times New Roman"/>
      <w:iCs/>
      <w:sz w:val="22"/>
      <w:szCs w:val="20"/>
    </w:rPr>
  </w:style>
  <w:style w:type="paragraph" w:styleId="17">
    <w:name w:val="Plain Text"/>
    <w:basedOn w:val="1"/>
    <w:qFormat/>
    <w:uiPriority w:val="0"/>
    <w:rPr>
      <w:rFonts w:ascii="宋体" w:hAnsi="Courier New" w:cs="Courier New"/>
      <w:szCs w:val="21"/>
    </w:rPr>
  </w:style>
  <w:style w:type="paragraph" w:styleId="18">
    <w:name w:val="toc 8"/>
    <w:basedOn w:val="1"/>
    <w:next w:val="1"/>
    <w:unhideWhenUsed/>
    <w:qFormat/>
    <w:uiPriority w:val="39"/>
    <w:pPr>
      <w:ind w:left="2940" w:leftChars="1400"/>
    </w:pPr>
    <w:rPr>
      <w:rFonts w:ascii="Calibri" w:hAnsi="Calibri" w:eastAsia="宋体" w:cs="Times New Roman"/>
      <w:sz w:val="21"/>
    </w:rPr>
  </w:style>
  <w:style w:type="paragraph" w:styleId="19">
    <w:name w:val="Date"/>
    <w:basedOn w:val="1"/>
    <w:next w:val="1"/>
    <w:link w:val="139"/>
    <w:qFormat/>
    <w:uiPriority w:val="0"/>
    <w:rPr>
      <w:rFonts w:ascii="Times New Roman"/>
      <w:sz w:val="28"/>
    </w:rPr>
  </w:style>
  <w:style w:type="paragraph" w:styleId="20">
    <w:name w:val="Body Text Indent 2"/>
    <w:basedOn w:val="1"/>
    <w:link w:val="103"/>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Cs w:val="20"/>
    </w:rPr>
  </w:style>
  <w:style w:type="paragraph" w:styleId="21">
    <w:name w:val="Balloon Text"/>
    <w:basedOn w:val="1"/>
    <w:link w:val="83"/>
    <w:qFormat/>
    <w:uiPriority w:val="0"/>
    <w:rPr>
      <w:sz w:val="18"/>
      <w:szCs w:val="18"/>
    </w:rPr>
  </w:style>
  <w:style w:type="paragraph" w:styleId="22">
    <w:name w:val="footer"/>
    <w:basedOn w:val="1"/>
    <w:link w:val="96"/>
    <w:qFormat/>
    <w:uiPriority w:val="99"/>
    <w:pPr>
      <w:tabs>
        <w:tab w:val="center" w:pos="4153"/>
        <w:tab w:val="right" w:pos="8306"/>
      </w:tabs>
      <w:snapToGrid w:val="0"/>
      <w:jc w:val="left"/>
    </w:pPr>
    <w:rPr>
      <w:rFonts w:eastAsia="宋体"/>
      <w:sz w:val="18"/>
      <w:szCs w:val="18"/>
    </w:rPr>
  </w:style>
  <w:style w:type="paragraph" w:styleId="23">
    <w:name w:val="header"/>
    <w:basedOn w:val="1"/>
    <w:link w:val="119"/>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rPr>
      <w:sz w:val="21"/>
      <w:szCs w:val="24"/>
    </w:rPr>
  </w:style>
  <w:style w:type="paragraph" w:styleId="25">
    <w:name w:val="toc 4"/>
    <w:basedOn w:val="1"/>
    <w:next w:val="1"/>
    <w:unhideWhenUsed/>
    <w:qFormat/>
    <w:uiPriority w:val="39"/>
    <w:pPr>
      <w:ind w:left="1260" w:leftChars="600"/>
    </w:pPr>
    <w:rPr>
      <w:rFonts w:ascii="Calibri" w:hAnsi="Calibri" w:eastAsia="宋体" w:cs="Times New Roman"/>
      <w:sz w:val="21"/>
    </w:rPr>
  </w:style>
  <w:style w:type="paragraph" w:styleId="26">
    <w:name w:val="toc 6"/>
    <w:basedOn w:val="1"/>
    <w:next w:val="1"/>
    <w:unhideWhenUsed/>
    <w:qFormat/>
    <w:uiPriority w:val="39"/>
    <w:pPr>
      <w:ind w:left="2100" w:leftChars="1000"/>
    </w:pPr>
    <w:rPr>
      <w:rFonts w:ascii="Calibri" w:hAnsi="Calibri" w:eastAsia="宋体" w:cs="Times New Roman"/>
      <w:sz w:val="21"/>
    </w:rPr>
  </w:style>
  <w:style w:type="paragraph" w:styleId="27">
    <w:name w:val="Body Text Indent 3"/>
    <w:basedOn w:val="1"/>
    <w:link w:val="10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Cs w:val="20"/>
    </w:rPr>
  </w:style>
  <w:style w:type="paragraph" w:styleId="28">
    <w:name w:val="table of figures"/>
    <w:basedOn w:val="1"/>
    <w:next w:val="1"/>
    <w:unhideWhenUsed/>
    <w:qFormat/>
    <w:uiPriority w:val="99"/>
    <w:pPr>
      <w:ind w:left="200" w:leftChars="200" w:hanging="200" w:hangingChars="200"/>
    </w:pPr>
  </w:style>
  <w:style w:type="paragraph" w:styleId="29">
    <w:name w:val="toc 2"/>
    <w:basedOn w:val="1"/>
    <w:next w:val="1"/>
    <w:qFormat/>
    <w:uiPriority w:val="39"/>
    <w:pPr>
      <w:ind w:left="420" w:leftChars="200"/>
    </w:pPr>
    <w:rPr>
      <w:sz w:val="21"/>
      <w:szCs w:val="24"/>
    </w:rPr>
  </w:style>
  <w:style w:type="paragraph" w:styleId="30">
    <w:name w:val="toc 9"/>
    <w:basedOn w:val="1"/>
    <w:next w:val="1"/>
    <w:unhideWhenUsed/>
    <w:qFormat/>
    <w:uiPriority w:val="39"/>
    <w:pPr>
      <w:ind w:left="3360" w:leftChars="1600"/>
    </w:pPr>
    <w:rPr>
      <w:rFonts w:ascii="Calibri" w:hAnsi="Calibri" w:eastAsia="宋体" w:cs="Times New Roman"/>
      <w:sz w:val="21"/>
    </w:rPr>
  </w:style>
  <w:style w:type="paragraph" w:styleId="31">
    <w:name w:val="Body Text 2"/>
    <w:basedOn w:val="1"/>
    <w:link w:val="94"/>
    <w:qFormat/>
    <w:uiPriority w:val="0"/>
    <w:pPr>
      <w:spacing w:after="120" w:line="480" w:lineRule="auto"/>
    </w:pPr>
  </w:style>
  <w:style w:type="paragraph" w:styleId="32">
    <w:name w:val="Normal (Web)"/>
    <w:basedOn w:val="1"/>
    <w:qFormat/>
    <w:uiPriority w:val="0"/>
    <w:pPr>
      <w:jc w:val="left"/>
    </w:pPr>
    <w:rPr>
      <w:rFonts w:cs="Times New Roman"/>
      <w:kern w:val="0"/>
    </w:rPr>
  </w:style>
  <w:style w:type="paragraph" w:styleId="33">
    <w:name w:val="Title"/>
    <w:basedOn w:val="1"/>
    <w:link w:val="131"/>
    <w:qFormat/>
    <w:uiPriority w:val="0"/>
    <w:pPr>
      <w:jc w:val="center"/>
    </w:pPr>
    <w:rPr>
      <w:rFonts w:ascii="Tahoma" w:hAnsi="Tahoma" w:eastAsia="宋体" w:cs="Times New Roman"/>
      <w:b/>
      <w:spacing w:val="8"/>
      <w:sz w:val="28"/>
      <w:szCs w:val="24"/>
    </w:rPr>
  </w:style>
  <w:style w:type="paragraph" w:styleId="34">
    <w:name w:val="annotation subject"/>
    <w:basedOn w:val="11"/>
    <w:next w:val="11"/>
    <w:link w:val="92"/>
    <w:qFormat/>
    <w:uiPriority w:val="0"/>
    <w:rPr>
      <w:b/>
      <w:bCs/>
    </w:rPr>
  </w:style>
  <w:style w:type="paragraph" w:styleId="35">
    <w:name w:val="Body Text First Indent"/>
    <w:basedOn w:val="13"/>
    <w:next w:val="36"/>
    <w:qFormat/>
    <w:uiPriority w:val="0"/>
    <w:pPr>
      <w:ind w:firstLine="420" w:firstLineChars="100"/>
    </w:pPr>
    <w:rPr>
      <w:rFonts w:eastAsia="仿宋_GB2312"/>
      <w:sz w:val="28"/>
    </w:rPr>
  </w:style>
  <w:style w:type="paragraph" w:styleId="36">
    <w:name w:val="Body Text First Indent 2"/>
    <w:basedOn w:val="14"/>
    <w:qFormat/>
    <w:uiPriority w:val="0"/>
    <w:pPr>
      <w:ind w:firstLine="420" w:firstLineChars="2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b/>
      <w:bCs/>
    </w:rPr>
  </w:style>
  <w:style w:type="character" w:styleId="41">
    <w:name w:val="page number"/>
    <w:basedOn w:val="39"/>
    <w:qFormat/>
    <w:uiPriority w:val="0"/>
  </w:style>
  <w:style w:type="character" w:styleId="42">
    <w:name w:val="FollowedHyperlink"/>
    <w:basedOn w:val="39"/>
    <w:qFormat/>
    <w:uiPriority w:val="0"/>
    <w:rPr>
      <w:color w:val="333333"/>
      <w:u w:val="none"/>
    </w:rPr>
  </w:style>
  <w:style w:type="character" w:styleId="43">
    <w:name w:val="Emphasis"/>
    <w:basedOn w:val="39"/>
    <w:qFormat/>
    <w:uiPriority w:val="0"/>
  </w:style>
  <w:style w:type="character" w:styleId="44">
    <w:name w:val="HTML Definition"/>
    <w:basedOn w:val="39"/>
    <w:qFormat/>
    <w:uiPriority w:val="0"/>
  </w:style>
  <w:style w:type="character" w:styleId="45">
    <w:name w:val="HTML Typewriter"/>
    <w:basedOn w:val="39"/>
    <w:qFormat/>
    <w:uiPriority w:val="0"/>
    <w:rPr>
      <w:rFonts w:ascii="monospace" w:hAnsi="monospace" w:eastAsia="monospace" w:cs="monospace"/>
      <w:sz w:val="20"/>
    </w:rPr>
  </w:style>
  <w:style w:type="character" w:styleId="46">
    <w:name w:val="HTML Acronym"/>
    <w:basedOn w:val="39"/>
    <w:qFormat/>
    <w:uiPriority w:val="0"/>
  </w:style>
  <w:style w:type="character" w:styleId="47">
    <w:name w:val="HTML Variable"/>
    <w:basedOn w:val="39"/>
    <w:qFormat/>
    <w:uiPriority w:val="0"/>
    <w:rPr>
      <w:bdr w:val="single" w:color="BDBEC1" w:sz="6" w:space="0"/>
      <w:shd w:val="clear" w:color="auto" w:fill="FFFFFF"/>
    </w:rPr>
  </w:style>
  <w:style w:type="character" w:styleId="48">
    <w:name w:val="Hyperlink"/>
    <w:basedOn w:val="39"/>
    <w:qFormat/>
    <w:uiPriority w:val="99"/>
    <w:rPr>
      <w:rFonts w:ascii="宋体" w:hAnsi="宋体" w:eastAsia="宋体"/>
      <w:b/>
      <w:color w:val="0000FF"/>
      <w:kern w:val="2"/>
      <w:sz w:val="24"/>
      <w:szCs w:val="24"/>
      <w:u w:val="single"/>
      <w:lang w:val="en-US" w:eastAsia="zh-CN" w:bidi="ar-SA"/>
    </w:rPr>
  </w:style>
  <w:style w:type="character" w:styleId="49">
    <w:name w:val="HTML Code"/>
    <w:basedOn w:val="39"/>
    <w:qFormat/>
    <w:uiPriority w:val="0"/>
    <w:rPr>
      <w:rFonts w:hint="default" w:ascii="Menlo" w:hAnsi="Menlo" w:eastAsia="Menlo" w:cs="Menlo"/>
      <w:color w:val="C7254E"/>
      <w:sz w:val="21"/>
      <w:szCs w:val="21"/>
      <w:shd w:val="clear" w:color="auto" w:fill="F9F2F4"/>
    </w:rPr>
  </w:style>
  <w:style w:type="character" w:styleId="50">
    <w:name w:val="annotation reference"/>
    <w:basedOn w:val="39"/>
    <w:qFormat/>
    <w:uiPriority w:val="0"/>
    <w:rPr>
      <w:sz w:val="21"/>
      <w:szCs w:val="21"/>
    </w:rPr>
  </w:style>
  <w:style w:type="character" w:styleId="51">
    <w:name w:val="HTML Cite"/>
    <w:basedOn w:val="39"/>
    <w:qFormat/>
    <w:uiPriority w:val="0"/>
  </w:style>
  <w:style w:type="character" w:styleId="52">
    <w:name w:val="HTML Keyboard"/>
    <w:basedOn w:val="39"/>
    <w:qFormat/>
    <w:uiPriority w:val="0"/>
    <w:rPr>
      <w:rFonts w:ascii="Menlo" w:hAnsi="Menlo" w:eastAsia="Menlo" w:cs="Menlo"/>
      <w:color w:val="FFFFFF"/>
      <w:sz w:val="21"/>
      <w:szCs w:val="21"/>
      <w:shd w:val="clear" w:color="auto" w:fill="333333"/>
    </w:rPr>
  </w:style>
  <w:style w:type="character" w:styleId="53">
    <w:name w:val="HTML Sample"/>
    <w:basedOn w:val="39"/>
    <w:qFormat/>
    <w:uiPriority w:val="0"/>
    <w:rPr>
      <w:rFonts w:hint="default" w:ascii="Menlo" w:hAnsi="Menlo" w:eastAsia="Menlo" w:cs="Menlo"/>
      <w:sz w:val="21"/>
      <w:szCs w:val="21"/>
    </w:rPr>
  </w:style>
  <w:style w:type="paragraph" w:customStyle="1" w:styleId="54">
    <w:name w:val="4"/>
    <w:basedOn w:val="1"/>
    <w:qFormat/>
    <w:uiPriority w:val="0"/>
    <w:pPr>
      <w:spacing w:line="560" w:lineRule="exact"/>
      <w:ind w:firstLine="200" w:firstLineChars="200"/>
    </w:pPr>
    <w:rPr>
      <w:rFonts w:ascii="Calibri" w:hAnsi="Calibri"/>
      <w:spacing w:val="20"/>
      <w:szCs w:val="24"/>
    </w:rPr>
  </w:style>
  <w:style w:type="paragraph" w:customStyle="1" w:styleId="5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56">
    <w:name w:val="_Style 5"/>
    <w:basedOn w:val="2"/>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57">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58">
    <w:name w:val="p15"/>
    <w:basedOn w:val="1"/>
    <w:qFormat/>
    <w:uiPriority w:val="99"/>
    <w:pPr>
      <w:widowControl/>
    </w:pPr>
    <w:rPr>
      <w:kern w:val="0"/>
      <w:sz w:val="21"/>
      <w:szCs w:val="21"/>
    </w:rPr>
  </w:style>
  <w:style w:type="paragraph" w:customStyle="1" w:styleId="59">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60">
    <w:name w:val="old"/>
    <w:basedOn w:val="39"/>
    <w:qFormat/>
    <w:uiPriority w:val="0"/>
    <w:rPr>
      <w:color w:val="999999"/>
    </w:rPr>
  </w:style>
  <w:style w:type="character" w:customStyle="1" w:styleId="61">
    <w:name w:val="hover3"/>
    <w:basedOn w:val="39"/>
    <w:qFormat/>
    <w:uiPriority w:val="0"/>
    <w:rPr>
      <w:shd w:val="clear" w:color="auto" w:fill="EEEEEE"/>
    </w:rPr>
  </w:style>
  <w:style w:type="character" w:customStyle="1" w:styleId="62">
    <w:name w:val="glyphicon4"/>
    <w:basedOn w:val="39"/>
    <w:qFormat/>
    <w:uiPriority w:val="0"/>
  </w:style>
  <w:style w:type="character" w:customStyle="1" w:styleId="63">
    <w:name w:val="hour_am"/>
    <w:basedOn w:val="39"/>
    <w:qFormat/>
    <w:uiPriority w:val="0"/>
  </w:style>
  <w:style w:type="character" w:customStyle="1" w:styleId="64">
    <w:name w:val="hour_pm"/>
    <w:basedOn w:val="39"/>
    <w:qFormat/>
    <w:uiPriority w:val="0"/>
  </w:style>
  <w:style w:type="character" w:customStyle="1" w:styleId="65">
    <w:name w:val="button"/>
    <w:basedOn w:val="39"/>
    <w:qFormat/>
    <w:uiPriority w:val="0"/>
  </w:style>
  <w:style w:type="character" w:customStyle="1" w:styleId="66">
    <w:name w:val="tmpztreemove_arrow"/>
    <w:basedOn w:val="39"/>
    <w:qFormat/>
    <w:uiPriority w:val="0"/>
    <w:rPr>
      <w:shd w:val="clear" w:color="auto" w:fill="FFFFFF"/>
    </w:rPr>
  </w:style>
  <w:style w:type="paragraph" w:customStyle="1" w:styleId="67">
    <w:name w:val="正文文本1"/>
    <w:basedOn w:val="1"/>
    <w:unhideWhenUsed/>
    <w:qFormat/>
    <w:uiPriority w:val="0"/>
    <w:pPr>
      <w:shd w:val="clear" w:color="auto" w:fill="FFFFFF"/>
      <w:spacing w:line="240" w:lineRule="atLeast"/>
      <w:jc w:val="left"/>
    </w:pPr>
    <w:rPr>
      <w:rFonts w:ascii="Times New Roman" w:hAnsi="Times New Roman" w:eastAsia="Times New Roman"/>
      <w:kern w:val="0"/>
      <w:sz w:val="11"/>
      <w:szCs w:val="20"/>
    </w:rPr>
  </w:style>
  <w:style w:type="paragraph" w:customStyle="1" w:styleId="68">
    <w:name w:val="列出段落1"/>
    <w:basedOn w:val="1"/>
    <w:qFormat/>
    <w:uiPriority w:val="0"/>
    <w:pPr>
      <w:ind w:firstLine="420" w:firstLineChars="200"/>
    </w:pPr>
  </w:style>
  <w:style w:type="paragraph" w:customStyle="1" w:styleId="69">
    <w:name w:val="标准文本"/>
    <w:basedOn w:val="1"/>
    <w:qFormat/>
    <w:uiPriority w:val="0"/>
    <w:pPr>
      <w:widowControl/>
      <w:ind w:firstLine="480"/>
      <w:jc w:val="left"/>
    </w:pPr>
    <w:rPr>
      <w:rFonts w:ascii="Times New Roman" w:hAnsi="Times New Roman"/>
      <w:szCs w:val="20"/>
    </w:rPr>
  </w:style>
  <w:style w:type="paragraph" w:customStyle="1" w:styleId="70">
    <w:name w:val="_正文段落"/>
    <w:basedOn w:val="1"/>
    <w:qFormat/>
    <w:uiPriority w:val="0"/>
    <w:pPr>
      <w:spacing w:beforeLines="15" w:afterLines="15"/>
    </w:pPr>
    <w:rPr>
      <w:rFonts w:ascii="Times New Roman" w:hAnsi="Times New Roman"/>
      <w:szCs w:val="24"/>
    </w:rPr>
  </w:style>
  <w:style w:type="paragraph" w:customStyle="1" w:styleId="71">
    <w:name w:val="表格内容"/>
    <w:basedOn w:val="1"/>
    <w:qFormat/>
    <w:uiPriority w:val="0"/>
    <w:pPr>
      <w:jc w:val="left"/>
    </w:pPr>
  </w:style>
  <w:style w:type="character" w:customStyle="1" w:styleId="72">
    <w:name w:val="proollist"/>
    <w:basedOn w:val="39"/>
    <w:qFormat/>
    <w:uiPriority w:val="0"/>
  </w:style>
  <w:style w:type="character" w:customStyle="1" w:styleId="73">
    <w:name w:val="beforeinfotext"/>
    <w:basedOn w:val="39"/>
    <w:qFormat/>
    <w:uiPriority w:val="0"/>
    <w:rPr>
      <w:color w:val="666666"/>
    </w:rPr>
  </w:style>
  <w:style w:type="character" w:customStyle="1" w:styleId="74">
    <w:name w:val="number"/>
    <w:basedOn w:val="39"/>
    <w:qFormat/>
    <w:uiPriority w:val="0"/>
    <w:rPr>
      <w:color w:val="FF8833"/>
      <w:sz w:val="18"/>
      <w:szCs w:val="18"/>
    </w:rPr>
  </w:style>
  <w:style w:type="character" w:customStyle="1" w:styleId="75">
    <w:name w:val="stclosebtn"/>
    <w:basedOn w:val="39"/>
    <w:qFormat/>
    <w:uiPriority w:val="0"/>
  </w:style>
  <w:style w:type="character" w:customStyle="1" w:styleId="76">
    <w:name w:val="phone"/>
    <w:basedOn w:val="39"/>
    <w:qFormat/>
    <w:uiPriority w:val="0"/>
    <w:rPr>
      <w:color w:val="FF8833"/>
      <w:sz w:val="18"/>
      <w:szCs w:val="18"/>
    </w:rPr>
  </w:style>
  <w:style w:type="paragraph" w:customStyle="1" w:styleId="77">
    <w:name w:val="title11"/>
    <w:basedOn w:val="1"/>
    <w:qFormat/>
    <w:uiPriority w:val="0"/>
    <w:pPr>
      <w:spacing w:before="150"/>
      <w:jc w:val="left"/>
    </w:pPr>
    <w:rPr>
      <w:rFonts w:cs="Times New Roman"/>
      <w:b/>
      <w:kern w:val="0"/>
      <w:sz w:val="22"/>
    </w:rPr>
  </w:style>
  <w:style w:type="paragraph" w:customStyle="1" w:styleId="78">
    <w:name w:val="WPSOffice手动目录 1"/>
    <w:qFormat/>
    <w:uiPriority w:val="0"/>
    <w:rPr>
      <w:rFonts w:ascii="Times New Roman" w:hAnsi="Times New Roman" w:eastAsia="宋体" w:cs="Times New Roman"/>
      <w:lang w:val="en-US" w:eastAsia="zh-CN" w:bidi="ar-SA"/>
    </w:rPr>
  </w:style>
  <w:style w:type="paragraph" w:customStyle="1" w:styleId="79">
    <w:name w:val="xl36"/>
    <w:basedOn w:val="1"/>
    <w:qFormat/>
    <w:uiPriority w:val="0"/>
    <w:pPr>
      <w:widowControl/>
      <w:jc w:val="center"/>
    </w:pPr>
    <w:rPr>
      <w:rFonts w:hint="eastAsia" w:ascii="宋体" w:hAnsi="宋体"/>
      <w:kern w:val="0"/>
    </w:rPr>
  </w:style>
  <w:style w:type="paragraph" w:customStyle="1" w:styleId="80">
    <w:name w:val="Table Paragraph"/>
    <w:basedOn w:val="1"/>
    <w:qFormat/>
    <w:uiPriority w:val="0"/>
    <w:rPr>
      <w:rFonts w:ascii="宋体" w:hAnsi="宋体" w:eastAsia="宋体" w:cs="宋体"/>
      <w:lang w:val="zh-CN" w:bidi="zh-CN"/>
    </w:rPr>
  </w:style>
  <w:style w:type="paragraph" w:customStyle="1" w:styleId="81">
    <w:name w:val="List Paragraph1"/>
    <w:basedOn w:val="1"/>
    <w:qFormat/>
    <w:uiPriority w:val="0"/>
    <w:pPr>
      <w:ind w:firstLine="420" w:firstLineChars="200"/>
    </w:pPr>
    <w:rPr>
      <w:rFonts w:hint="eastAsia" w:ascii="宋体" w:hAnsi="Times New Roman" w:eastAsia="宋体" w:cs="Times New Roman"/>
      <w:kern w:val="0"/>
      <w:szCs w:val="20"/>
    </w:rPr>
  </w:style>
  <w:style w:type="paragraph" w:customStyle="1" w:styleId="82">
    <w:name w:val="title1"/>
    <w:basedOn w:val="1"/>
    <w:qFormat/>
    <w:uiPriority w:val="0"/>
    <w:pPr>
      <w:spacing w:before="150"/>
      <w:jc w:val="left"/>
    </w:pPr>
    <w:rPr>
      <w:rFonts w:cs="Times New Roman"/>
      <w:b/>
      <w:kern w:val="0"/>
      <w:sz w:val="22"/>
    </w:rPr>
  </w:style>
  <w:style w:type="character" w:customStyle="1" w:styleId="83">
    <w:name w:val="批注框文本 字符"/>
    <w:basedOn w:val="39"/>
    <w:link w:val="21"/>
    <w:qFormat/>
    <w:uiPriority w:val="0"/>
    <w:rPr>
      <w:rFonts w:asciiTheme="minorHAnsi" w:hAnsiTheme="minorHAnsi" w:eastAsiaTheme="minorEastAsia" w:cstheme="minorBidi"/>
      <w:kern w:val="2"/>
      <w:sz w:val="18"/>
      <w:szCs w:val="18"/>
    </w:rPr>
  </w:style>
  <w:style w:type="paragraph" w:styleId="84">
    <w:name w:val="List Paragraph"/>
    <w:basedOn w:val="1"/>
    <w:qFormat/>
    <w:uiPriority w:val="99"/>
    <w:pPr>
      <w:ind w:firstLine="420" w:firstLineChars="200"/>
    </w:pPr>
  </w:style>
  <w:style w:type="paragraph" w:customStyle="1" w:styleId="85">
    <w:name w:val="_Style 8"/>
    <w:basedOn w:val="1"/>
    <w:next w:val="1"/>
    <w:unhideWhenUsed/>
    <w:qFormat/>
    <w:uiPriority w:val="39"/>
    <w:rPr>
      <w:rFonts w:ascii="Times New Roman" w:hAnsi="Times New Roman" w:eastAsia="宋体" w:cs="Times New Roman"/>
      <w:szCs w:val="24"/>
    </w:rPr>
  </w:style>
  <w:style w:type="character" w:customStyle="1" w:styleId="86">
    <w:name w:val="font111"/>
    <w:basedOn w:val="39"/>
    <w:qFormat/>
    <w:uiPriority w:val="0"/>
    <w:rPr>
      <w:rFonts w:hint="eastAsia" w:ascii="宋体" w:hAnsi="宋体" w:eastAsia="宋体" w:cs="宋体"/>
      <w:color w:val="000000"/>
      <w:sz w:val="20"/>
      <w:szCs w:val="20"/>
      <w:u w:val="none"/>
    </w:rPr>
  </w:style>
  <w:style w:type="character" w:customStyle="1" w:styleId="87">
    <w:name w:val="font01"/>
    <w:basedOn w:val="39"/>
    <w:qFormat/>
    <w:uiPriority w:val="0"/>
    <w:rPr>
      <w:rFonts w:hint="eastAsia" w:ascii="宋体" w:hAnsi="宋体" w:eastAsia="宋体" w:cs="宋体"/>
      <w:b/>
      <w:color w:val="FF0000"/>
      <w:sz w:val="20"/>
      <w:szCs w:val="20"/>
      <w:u w:val="none"/>
    </w:rPr>
  </w:style>
  <w:style w:type="character" w:customStyle="1" w:styleId="88">
    <w:name w:val="font122"/>
    <w:basedOn w:val="39"/>
    <w:qFormat/>
    <w:uiPriority w:val="0"/>
    <w:rPr>
      <w:rFonts w:hint="eastAsia" w:ascii="宋体" w:hAnsi="宋体" w:eastAsia="宋体" w:cs="宋体"/>
      <w:color w:val="000000"/>
      <w:sz w:val="20"/>
      <w:szCs w:val="20"/>
      <w:u w:val="none"/>
    </w:rPr>
  </w:style>
  <w:style w:type="character" w:customStyle="1" w:styleId="89">
    <w:name w:val="font101"/>
    <w:basedOn w:val="39"/>
    <w:qFormat/>
    <w:uiPriority w:val="0"/>
    <w:rPr>
      <w:rFonts w:hint="eastAsia" w:ascii="宋体" w:hAnsi="宋体" w:eastAsia="宋体" w:cs="宋体"/>
      <w:color w:val="000000"/>
      <w:sz w:val="20"/>
      <w:szCs w:val="20"/>
      <w:u w:val="none"/>
    </w:rPr>
  </w:style>
  <w:style w:type="character" w:customStyle="1" w:styleId="90">
    <w:name w:val="font71"/>
    <w:basedOn w:val="39"/>
    <w:qFormat/>
    <w:uiPriority w:val="0"/>
    <w:rPr>
      <w:rFonts w:ascii="宋体" w:hAnsi="宋体" w:eastAsia="宋体" w:cs="宋体"/>
      <w:color w:val="000000"/>
      <w:sz w:val="20"/>
      <w:szCs w:val="20"/>
      <w:u w:val="none"/>
    </w:rPr>
  </w:style>
  <w:style w:type="character" w:customStyle="1" w:styleId="91">
    <w:name w:val="批注文字 字符"/>
    <w:basedOn w:val="39"/>
    <w:link w:val="11"/>
    <w:qFormat/>
    <w:uiPriority w:val="0"/>
    <w:rPr>
      <w:rFonts w:asciiTheme="minorHAnsi" w:hAnsiTheme="minorHAnsi" w:eastAsiaTheme="minorEastAsia" w:cstheme="minorBidi"/>
      <w:kern w:val="2"/>
      <w:sz w:val="24"/>
      <w:szCs w:val="22"/>
    </w:rPr>
  </w:style>
  <w:style w:type="character" w:customStyle="1" w:styleId="92">
    <w:name w:val="批注主题 字符"/>
    <w:basedOn w:val="91"/>
    <w:link w:val="34"/>
    <w:qFormat/>
    <w:uiPriority w:val="0"/>
    <w:rPr>
      <w:rFonts w:asciiTheme="minorHAnsi" w:hAnsiTheme="minorHAnsi" w:eastAsiaTheme="minorEastAsia" w:cstheme="minorBidi"/>
      <w:b/>
      <w:bCs/>
      <w:kern w:val="2"/>
      <w:sz w:val="24"/>
      <w:szCs w:val="22"/>
    </w:rPr>
  </w:style>
  <w:style w:type="character" w:customStyle="1" w:styleId="93">
    <w:name w:val="indent"/>
    <w:basedOn w:val="39"/>
    <w:qFormat/>
    <w:uiPriority w:val="0"/>
  </w:style>
  <w:style w:type="character" w:customStyle="1" w:styleId="94">
    <w:name w:val="正文文本 2 字符"/>
    <w:basedOn w:val="39"/>
    <w:link w:val="31"/>
    <w:qFormat/>
    <w:uiPriority w:val="0"/>
    <w:rPr>
      <w:rFonts w:asciiTheme="minorHAnsi" w:hAnsiTheme="minorHAnsi" w:eastAsiaTheme="minorEastAsia" w:cstheme="minorBidi"/>
      <w:kern w:val="2"/>
      <w:sz w:val="24"/>
      <w:szCs w:val="22"/>
    </w:rPr>
  </w:style>
  <w:style w:type="paragraph" w:customStyle="1" w:styleId="95">
    <w:name w:val="Char Char1 Char"/>
    <w:basedOn w:val="1"/>
    <w:qFormat/>
    <w:uiPriority w:val="0"/>
    <w:rPr>
      <w:rFonts w:ascii="Times New Roman" w:hAnsi="Times New Roman" w:eastAsia="宋体" w:cs="Times New Roman"/>
      <w:sz w:val="21"/>
      <w:szCs w:val="20"/>
    </w:rPr>
  </w:style>
  <w:style w:type="character" w:customStyle="1" w:styleId="96">
    <w:name w:val="页脚 字符"/>
    <w:basedOn w:val="39"/>
    <w:link w:val="22"/>
    <w:qFormat/>
    <w:uiPriority w:val="99"/>
    <w:rPr>
      <w:rFonts w:asciiTheme="minorHAnsi" w:hAnsiTheme="minorHAnsi" w:cstheme="minorBidi"/>
      <w:kern w:val="2"/>
      <w:sz w:val="18"/>
      <w:szCs w:val="18"/>
    </w:rPr>
  </w:style>
  <w:style w:type="character" w:customStyle="1" w:styleId="97">
    <w:name w:val="noticebidtime-bidaddress"/>
    <w:basedOn w:val="39"/>
    <w:qFormat/>
    <w:uiPriority w:val="0"/>
  </w:style>
  <w:style w:type="paragraph" w:customStyle="1" w:styleId="98">
    <w:name w:val="_Style 80"/>
    <w:basedOn w:val="1"/>
    <w:next w:val="1"/>
    <w:qFormat/>
    <w:uiPriority w:val="0"/>
    <w:pPr>
      <w:pBdr>
        <w:bottom w:val="single" w:color="auto" w:sz="6" w:space="1"/>
      </w:pBdr>
      <w:jc w:val="center"/>
    </w:pPr>
    <w:rPr>
      <w:rFonts w:ascii="Arial" w:eastAsia="宋体"/>
      <w:vanish/>
      <w:sz w:val="16"/>
    </w:rPr>
  </w:style>
  <w:style w:type="paragraph" w:customStyle="1" w:styleId="99">
    <w:name w:val="_Style 81"/>
    <w:basedOn w:val="1"/>
    <w:next w:val="1"/>
    <w:qFormat/>
    <w:uiPriority w:val="0"/>
    <w:pPr>
      <w:pBdr>
        <w:top w:val="single" w:color="auto" w:sz="6" w:space="1"/>
      </w:pBdr>
      <w:jc w:val="center"/>
    </w:pPr>
    <w:rPr>
      <w:rFonts w:ascii="Arial" w:eastAsia="宋体"/>
      <w:vanish/>
      <w:sz w:val="16"/>
    </w:rPr>
  </w:style>
  <w:style w:type="character" w:customStyle="1" w:styleId="100">
    <w:name w:val="mini-tree-nodetext3"/>
    <w:basedOn w:val="39"/>
    <w:qFormat/>
    <w:uiPriority w:val="0"/>
  </w:style>
  <w:style w:type="character" w:customStyle="1" w:styleId="101">
    <w:name w:val="MSG_EN_FONT_STYLE_NAME_TEMPLATE_ROLE_LEVEL MSG_EN_FONT_STYLE_NAME_BY_ROLE_HEADING 7 + MSG_EN_FONT_STYLE_MODIFER_SPACING 0"/>
    <w:qFormat/>
    <w:uiPriority w:val="0"/>
    <w:rPr>
      <w:rFonts w:ascii="PMingLiU" w:hAnsi="PMingLiU" w:eastAsia="PMingLiU" w:cs="PMingLiU"/>
      <w:color w:val="000000"/>
      <w:spacing w:val="0"/>
      <w:w w:val="100"/>
      <w:position w:val="0"/>
      <w:sz w:val="22"/>
      <w:szCs w:val="22"/>
      <w:u w:val="none"/>
      <w:lang w:val="zh-CN" w:eastAsia="zh-CN" w:bidi="zh-CN"/>
    </w:rPr>
  </w:style>
  <w:style w:type="character" w:customStyle="1" w:styleId="102">
    <w:name w:val="标题 5 字符"/>
    <w:basedOn w:val="39"/>
    <w:link w:val="6"/>
    <w:qFormat/>
    <w:uiPriority w:val="0"/>
    <w:rPr>
      <w:rFonts w:ascii="宋体" w:hAnsi="宋体" w:eastAsiaTheme="minorEastAsia" w:cstheme="minorBidi"/>
      <w:b/>
      <w:sz w:val="24"/>
    </w:rPr>
  </w:style>
  <w:style w:type="character" w:customStyle="1" w:styleId="103">
    <w:name w:val="正文文本缩进 2 字符"/>
    <w:basedOn w:val="39"/>
    <w:link w:val="20"/>
    <w:qFormat/>
    <w:uiPriority w:val="0"/>
    <w:rPr>
      <w:rFonts w:ascii="宋体" w:hAnsi="MS Sans Serif" w:eastAsiaTheme="minorEastAsia" w:cstheme="minorBidi"/>
      <w:spacing w:val="12"/>
      <w:sz w:val="24"/>
    </w:rPr>
  </w:style>
  <w:style w:type="character" w:customStyle="1" w:styleId="104">
    <w:name w:val="正文文本缩进 3 字符"/>
    <w:basedOn w:val="39"/>
    <w:link w:val="27"/>
    <w:qFormat/>
    <w:uiPriority w:val="0"/>
    <w:rPr>
      <w:rFonts w:ascii="宋体" w:hAnsi="MS Sans Serif" w:eastAsiaTheme="minorEastAsia" w:cstheme="minorBidi"/>
      <w:color w:val="000000"/>
      <w:sz w:val="24"/>
    </w:rPr>
  </w:style>
  <w:style w:type="paragraph" w:customStyle="1" w:styleId="105">
    <w:name w:val="目录"/>
    <w:basedOn w:val="1"/>
    <w:qFormat/>
    <w:uiPriority w:val="0"/>
    <w:pPr>
      <w:widowControl/>
      <w:jc w:val="center"/>
    </w:pPr>
    <w:rPr>
      <w:rFonts w:ascii="宋体" w:hAnsi="Times New Roman"/>
      <w:b/>
      <w:kern w:val="0"/>
      <w:sz w:val="36"/>
    </w:rPr>
  </w:style>
  <w:style w:type="character" w:customStyle="1" w:styleId="106">
    <w:name w:val="标题 1 字符"/>
    <w:link w:val="2"/>
    <w:qFormat/>
    <w:uiPriority w:val="0"/>
    <w:rPr>
      <w:rFonts w:asciiTheme="minorHAnsi" w:hAnsiTheme="minorHAnsi" w:cstheme="minorBidi"/>
      <w:b/>
      <w:bCs/>
      <w:kern w:val="44"/>
      <w:sz w:val="44"/>
      <w:szCs w:val="44"/>
    </w:rPr>
  </w:style>
  <w:style w:type="character" w:customStyle="1" w:styleId="107">
    <w:name w:val="MSG_EN_FONT_STYLE_NAME_TEMPLATE_ROLE_NUMBER MSG_EN_FONT_STYLE_NAME_BY_ROLE_TEXT 11_"/>
    <w:link w:val="108"/>
    <w:qFormat/>
    <w:uiPriority w:val="0"/>
    <w:rPr>
      <w:rFonts w:ascii="PMingLiU" w:hAnsi="PMingLiU" w:eastAsia="PMingLiU" w:cs="PMingLiU"/>
      <w:sz w:val="17"/>
      <w:szCs w:val="17"/>
      <w:shd w:val="clear" w:color="auto" w:fill="FFFFFF"/>
    </w:rPr>
  </w:style>
  <w:style w:type="paragraph" w:customStyle="1" w:styleId="108">
    <w:name w:val="MSG_EN_FONT_STYLE_NAME_TEMPLATE_ROLE_NUMBER MSG_EN_FONT_STYLE_NAME_BY_ROLE_TEXT 11"/>
    <w:basedOn w:val="1"/>
    <w:link w:val="107"/>
    <w:qFormat/>
    <w:uiPriority w:val="0"/>
    <w:pPr>
      <w:shd w:val="clear" w:color="auto" w:fill="FFFFFF"/>
      <w:spacing w:before="320" w:line="293" w:lineRule="exact"/>
      <w:ind w:hanging="220"/>
      <w:jc w:val="distribute"/>
    </w:pPr>
    <w:rPr>
      <w:rFonts w:ascii="PMingLiU" w:hAnsi="PMingLiU" w:eastAsia="PMingLiU" w:cs="PMingLiU"/>
      <w:kern w:val="0"/>
      <w:sz w:val="17"/>
      <w:szCs w:val="17"/>
    </w:rPr>
  </w:style>
  <w:style w:type="character" w:customStyle="1" w:styleId="109">
    <w:name w:val="MSG_EN_FONT_STYLE_NAME_TEMPLATE_ROLE_NUMBER MSG_EN_FONT_STYLE_NAME_BY_ROLE_TEXT 7_"/>
    <w:link w:val="110"/>
    <w:qFormat/>
    <w:uiPriority w:val="0"/>
    <w:rPr>
      <w:rFonts w:ascii="PMingLiU" w:hAnsi="PMingLiU" w:eastAsia="PMingLiU" w:cs="PMingLiU"/>
      <w:spacing w:val="20"/>
      <w:sz w:val="21"/>
      <w:szCs w:val="21"/>
      <w:shd w:val="clear" w:color="auto" w:fill="FFFFFF"/>
    </w:rPr>
  </w:style>
  <w:style w:type="paragraph" w:customStyle="1" w:styleId="110">
    <w:name w:val="MSG_EN_FONT_STYLE_NAME_TEMPLATE_ROLE_NUMBER MSG_EN_FONT_STYLE_NAME_BY_ROLE_TEXT 7"/>
    <w:basedOn w:val="1"/>
    <w:link w:val="109"/>
    <w:qFormat/>
    <w:uiPriority w:val="0"/>
    <w:pPr>
      <w:shd w:val="clear" w:color="auto" w:fill="FFFFFF"/>
      <w:spacing w:before="140" w:after="300" w:line="210" w:lineRule="exact"/>
      <w:jc w:val="center"/>
    </w:pPr>
    <w:rPr>
      <w:rFonts w:ascii="PMingLiU" w:hAnsi="PMingLiU" w:eastAsia="PMingLiU" w:cs="PMingLiU"/>
      <w:spacing w:val="20"/>
      <w:kern w:val="0"/>
      <w:sz w:val="21"/>
      <w:szCs w:val="21"/>
    </w:rPr>
  </w:style>
  <w:style w:type="character" w:customStyle="1" w:styleId="111">
    <w:name w:val="MSG_EN_FONT_STYLE_NAME_TEMPLATE_ROLE_NUMBER MSG_EN_FONT_STYLE_NAME_BY_ROLE_TEXT 2 + MSG_EN_FONT_STYLE_MODIFER_NAME Times New Roman"/>
    <w:qFormat/>
    <w:uiPriority w:val="0"/>
    <w:rPr>
      <w:rFonts w:ascii="Times New Roman" w:hAnsi="Times New Roman" w:eastAsia="Times New Roman" w:cs="Times New Roman"/>
      <w:color w:val="000000"/>
      <w:spacing w:val="0"/>
      <w:w w:val="100"/>
      <w:position w:val="0"/>
      <w:sz w:val="22"/>
      <w:szCs w:val="22"/>
      <w:u w:val="none"/>
      <w:shd w:val="clear" w:color="auto" w:fill="FFFFFF"/>
      <w:lang w:val="en-US" w:eastAsia="en-US" w:bidi="en-US"/>
    </w:rPr>
  </w:style>
  <w:style w:type="character" w:customStyle="1" w:styleId="112">
    <w:name w:val="页脚 Char"/>
    <w:qFormat/>
    <w:locked/>
    <w:uiPriority w:val="99"/>
    <w:rPr>
      <w:rFonts w:eastAsia="宋体"/>
      <w:kern w:val="2"/>
      <w:sz w:val="18"/>
      <w:szCs w:val="18"/>
      <w:lang w:val="en-US" w:eastAsia="zh-CN" w:bidi="ar-SA"/>
    </w:rPr>
  </w:style>
  <w:style w:type="character" w:customStyle="1" w:styleId="113">
    <w:name w:val="MSG_EN_FONT_STYLE_NAME_TEMPLATE_ROLE_LEVEL MSG_EN_FONT_STYLE_NAME_BY_ROLE_HEADING 7_"/>
    <w:link w:val="114"/>
    <w:qFormat/>
    <w:uiPriority w:val="0"/>
    <w:rPr>
      <w:rFonts w:ascii="PMingLiU" w:hAnsi="PMingLiU" w:eastAsia="PMingLiU" w:cs="PMingLiU"/>
      <w:spacing w:val="20"/>
      <w:sz w:val="22"/>
      <w:szCs w:val="22"/>
      <w:shd w:val="clear" w:color="auto" w:fill="FFFFFF"/>
    </w:rPr>
  </w:style>
  <w:style w:type="paragraph" w:customStyle="1" w:styleId="114">
    <w:name w:val="MSG_EN_FONT_STYLE_NAME_TEMPLATE_ROLE_LEVEL MSG_EN_FONT_STYLE_NAME_BY_ROLE_HEADING 7"/>
    <w:basedOn w:val="1"/>
    <w:link w:val="113"/>
    <w:qFormat/>
    <w:uiPriority w:val="0"/>
    <w:pPr>
      <w:shd w:val="clear" w:color="auto" w:fill="FFFFFF"/>
      <w:spacing w:line="562" w:lineRule="exact"/>
      <w:jc w:val="left"/>
      <w:outlineLvl w:val="6"/>
    </w:pPr>
    <w:rPr>
      <w:rFonts w:ascii="PMingLiU" w:hAnsi="PMingLiU" w:eastAsia="PMingLiU" w:cs="PMingLiU"/>
      <w:spacing w:val="20"/>
      <w:kern w:val="0"/>
      <w:sz w:val="22"/>
    </w:rPr>
  </w:style>
  <w:style w:type="character" w:customStyle="1" w:styleId="115">
    <w:name w:val="正文文本 字符"/>
    <w:link w:val="13"/>
    <w:qFormat/>
    <w:locked/>
    <w:uiPriority w:val="0"/>
    <w:rPr>
      <w:rFonts w:asciiTheme="minorHAnsi" w:hAnsiTheme="minorHAnsi" w:eastAsiaTheme="minorEastAsia" w:cstheme="minorBidi"/>
      <w:kern w:val="2"/>
      <w:sz w:val="24"/>
      <w:szCs w:val="22"/>
    </w:rPr>
  </w:style>
  <w:style w:type="character" w:customStyle="1" w:styleId="116">
    <w:name w:val="MSG_EN_FONT_STYLE_NAME_TEMPLATE_ROLE_NUMBER MSG_EN_FONT_STYLE_NAME_BY_ROLE_TEXT 2 + MSG_EN_FONT_STYLE_MODIFER_NAME SimSun"/>
    <w:qFormat/>
    <w:uiPriority w:val="0"/>
    <w:rPr>
      <w:rFonts w:ascii="宋体" w:hAnsi="宋体" w:eastAsia="宋体" w:cs="宋体"/>
      <w:color w:val="000000"/>
      <w:spacing w:val="0"/>
      <w:w w:val="100"/>
      <w:position w:val="0"/>
      <w:sz w:val="22"/>
      <w:szCs w:val="22"/>
      <w:u w:val="none"/>
      <w:shd w:val="clear" w:color="auto" w:fill="FFFFFF"/>
      <w:lang w:val="zh-CN" w:eastAsia="zh-CN" w:bidi="zh-CN"/>
    </w:rPr>
  </w:style>
  <w:style w:type="character" w:customStyle="1" w:styleId="117">
    <w:name w:val="MSG_EN_FONT_STYLE_NAME_TEMPLATE_ROLE_NUMBER MSG_EN_FONT_STYLE_NAME_BY_ROLE_TEXT 2_"/>
    <w:link w:val="118"/>
    <w:qFormat/>
    <w:uiPriority w:val="0"/>
    <w:rPr>
      <w:rFonts w:ascii="PMingLiU" w:hAnsi="PMingLiU" w:eastAsia="PMingLiU" w:cs="PMingLiU"/>
      <w:sz w:val="22"/>
      <w:szCs w:val="22"/>
      <w:shd w:val="clear" w:color="auto" w:fill="FFFFFF"/>
    </w:rPr>
  </w:style>
  <w:style w:type="paragraph" w:customStyle="1" w:styleId="118">
    <w:name w:val="MSG_EN_FONT_STYLE_NAME_TEMPLATE_ROLE_NUMBER MSG_EN_FONT_STYLE_NAME_BY_ROLE_TEXT 2"/>
    <w:basedOn w:val="1"/>
    <w:link w:val="117"/>
    <w:qFormat/>
    <w:uiPriority w:val="0"/>
    <w:pPr>
      <w:shd w:val="clear" w:color="auto" w:fill="FFFFFF"/>
      <w:spacing w:before="300" w:line="451" w:lineRule="exact"/>
      <w:jc w:val="distribute"/>
    </w:pPr>
    <w:rPr>
      <w:rFonts w:ascii="PMingLiU" w:hAnsi="PMingLiU" w:eastAsia="PMingLiU" w:cs="PMingLiU"/>
      <w:kern w:val="0"/>
      <w:sz w:val="22"/>
    </w:rPr>
  </w:style>
  <w:style w:type="character" w:customStyle="1" w:styleId="119">
    <w:name w:val="页眉 字符"/>
    <w:link w:val="23"/>
    <w:qFormat/>
    <w:locked/>
    <w:uiPriority w:val="0"/>
    <w:rPr>
      <w:rFonts w:asciiTheme="minorHAnsi" w:hAnsiTheme="minorHAnsi" w:eastAsiaTheme="minorEastAsia" w:cstheme="minorBidi"/>
      <w:kern w:val="2"/>
      <w:sz w:val="18"/>
      <w:szCs w:val="18"/>
    </w:rPr>
  </w:style>
  <w:style w:type="character" w:customStyle="1" w:styleId="120">
    <w:name w:val="标题 3 字符"/>
    <w:link w:val="4"/>
    <w:qFormat/>
    <w:locked/>
    <w:uiPriority w:val="0"/>
    <w:rPr>
      <w:rFonts w:eastAsiaTheme="minorEastAsia" w:cstheme="minorBidi"/>
      <w:b/>
      <w:bCs/>
      <w:kern w:val="2"/>
      <w:sz w:val="32"/>
      <w:szCs w:val="32"/>
    </w:rPr>
  </w:style>
  <w:style w:type="character" w:customStyle="1" w:styleId="121">
    <w:name w:val="MSG_EN_FONT_STYLE_NAME_TEMPLATE_ROLE_LEVEL_NUMBER MSG_EN_FONT_STYLE_NAME_BY_ROLE_HEADING 6 2_"/>
    <w:link w:val="122"/>
    <w:qFormat/>
    <w:uiPriority w:val="0"/>
    <w:rPr>
      <w:rFonts w:ascii="PMingLiU" w:hAnsi="PMingLiU" w:eastAsia="PMingLiU" w:cs="PMingLiU"/>
      <w:sz w:val="22"/>
      <w:szCs w:val="22"/>
      <w:shd w:val="clear" w:color="auto" w:fill="FFFFFF"/>
    </w:rPr>
  </w:style>
  <w:style w:type="paragraph" w:customStyle="1" w:styleId="122">
    <w:name w:val="MSG_EN_FONT_STYLE_NAME_TEMPLATE_ROLE_LEVEL_NUMBER MSG_EN_FONT_STYLE_NAME_BY_ROLE_HEADING 6 2"/>
    <w:basedOn w:val="1"/>
    <w:link w:val="121"/>
    <w:qFormat/>
    <w:uiPriority w:val="0"/>
    <w:pPr>
      <w:shd w:val="clear" w:color="auto" w:fill="FFFFFF"/>
      <w:spacing w:before="420" w:after="620" w:line="220" w:lineRule="exact"/>
      <w:jc w:val="distribute"/>
      <w:outlineLvl w:val="5"/>
    </w:pPr>
    <w:rPr>
      <w:rFonts w:ascii="PMingLiU" w:hAnsi="PMingLiU" w:eastAsia="PMingLiU" w:cs="PMingLiU"/>
      <w:kern w:val="0"/>
      <w:sz w:val="22"/>
    </w:rPr>
  </w:style>
  <w:style w:type="character" w:customStyle="1" w:styleId="123">
    <w:name w:val="正文文本 3 字符1"/>
    <w:link w:val="12"/>
    <w:qFormat/>
    <w:locked/>
    <w:uiPriority w:val="0"/>
    <w:rPr>
      <w:rFonts w:ascii="宋体"/>
      <w:sz w:val="24"/>
    </w:rPr>
  </w:style>
  <w:style w:type="character" w:customStyle="1" w:styleId="124">
    <w:name w:val="font21"/>
    <w:qFormat/>
    <w:uiPriority w:val="0"/>
    <w:rPr>
      <w:rFonts w:ascii="宋体" w:hAnsi="宋体" w:eastAsia="宋体" w:cs="宋体"/>
      <w:color w:val="000000"/>
      <w:sz w:val="22"/>
      <w:szCs w:val="22"/>
      <w:u w:val="none"/>
    </w:rPr>
  </w:style>
  <w:style w:type="character" w:customStyle="1" w:styleId="125">
    <w:name w:val="MSG_EN_FONT_STYLE_NAME_TEMPLATE_ROLE_NUMBER MSG_EN_FONT_STYLE_NAME_BY_ROLE_TEXT 7 + MSG_EN_FONT_STYLE_MODIFER_NAME Arial"/>
    <w:qFormat/>
    <w:uiPriority w:val="0"/>
    <w:rPr>
      <w:rFonts w:ascii="Arial" w:hAnsi="Arial" w:eastAsia="Arial" w:cs="Arial"/>
      <w:color w:val="000000"/>
      <w:spacing w:val="0"/>
      <w:w w:val="100"/>
      <w:position w:val="0"/>
      <w:sz w:val="24"/>
      <w:szCs w:val="24"/>
      <w:u w:val="none"/>
      <w:lang w:val="en-US" w:eastAsia="en-US" w:bidi="en-US"/>
    </w:rPr>
  </w:style>
  <w:style w:type="character" w:customStyle="1" w:styleId="126">
    <w:name w:val="MSG_EN_FONT_STYLE_NAME_TEMPLATE_ROLE_NUMBER MSG_EN_FONT_STYLE_NAME_BY_ROLE_TEXT 2 + MSG_EN_FONT_STYLE_MODIFER_SIZE 21"/>
    <w:qFormat/>
    <w:uiPriority w:val="0"/>
    <w:rPr>
      <w:rFonts w:ascii="PMingLiU" w:hAnsi="PMingLiU" w:eastAsia="PMingLiU" w:cs="PMingLiU"/>
      <w:color w:val="000000"/>
      <w:spacing w:val="0"/>
      <w:w w:val="100"/>
      <w:position w:val="0"/>
      <w:sz w:val="42"/>
      <w:szCs w:val="42"/>
      <w:u w:val="none"/>
      <w:shd w:val="clear" w:color="auto" w:fill="FFFFFF"/>
      <w:lang w:val="zh-CN" w:eastAsia="zh-CN" w:bidi="zh-CN"/>
    </w:rPr>
  </w:style>
  <w:style w:type="character" w:customStyle="1" w:styleId="127">
    <w:name w:val="MSG_EN_FONT_STYLE_NAME_TEMPLATE_ROLE_NUMBER MSG_EN_FONT_STYLE_NAME_BY_ROLE_TEXT 2 + MSG_EN_FONT_STYLE_MODIFER_SIZE 10.5"/>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28">
    <w:name w:val="批注框文本 Char"/>
    <w:qFormat/>
    <w:locked/>
    <w:uiPriority w:val="0"/>
    <w:rPr>
      <w:rFonts w:eastAsia="宋体"/>
      <w:kern w:val="2"/>
      <w:sz w:val="18"/>
      <w:szCs w:val="18"/>
      <w:lang w:val="en-US" w:eastAsia="zh-CN" w:bidi="ar-SA"/>
    </w:rPr>
  </w:style>
  <w:style w:type="character" w:customStyle="1" w:styleId="129">
    <w:name w:val="font31"/>
    <w:qFormat/>
    <w:uiPriority w:val="0"/>
    <w:rPr>
      <w:rFonts w:ascii="font-weight : 400" w:hAnsi="font-weight : 400" w:cs="font-weight : 400"/>
      <w:color w:val="000000"/>
      <w:sz w:val="22"/>
      <w:szCs w:val="22"/>
      <w:u w:val="none"/>
    </w:rPr>
  </w:style>
  <w:style w:type="character" w:customStyle="1" w:styleId="130">
    <w:name w:val="标题 1 Char"/>
    <w:qFormat/>
    <w:locked/>
    <w:uiPriority w:val="0"/>
    <w:rPr>
      <w:rFonts w:eastAsia="宋体"/>
      <w:b/>
      <w:bCs/>
      <w:kern w:val="44"/>
      <w:sz w:val="44"/>
      <w:szCs w:val="44"/>
      <w:lang w:val="en-US" w:eastAsia="zh-CN" w:bidi="ar-SA"/>
    </w:rPr>
  </w:style>
  <w:style w:type="character" w:customStyle="1" w:styleId="131">
    <w:name w:val="标题 字符1"/>
    <w:link w:val="33"/>
    <w:qFormat/>
    <w:locked/>
    <w:uiPriority w:val="0"/>
    <w:rPr>
      <w:rFonts w:ascii="Tahoma" w:hAnsi="Tahoma"/>
      <w:b/>
      <w:spacing w:val="8"/>
      <w:kern w:val="2"/>
      <w:sz w:val="28"/>
      <w:szCs w:val="24"/>
    </w:rPr>
  </w:style>
  <w:style w:type="character" w:customStyle="1" w:styleId="132">
    <w:name w:val="MSG_EN_FONT_STYLE_NAME_TEMPLATE_ROLE_NUMBER MSG_EN_FONT_STYLE_NAME_BY_ROLE_TEXT 7 + MSG_EN_FONT_STYLE_MODIFER_SPACING 0"/>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33">
    <w:name w:val="标题 2 字符"/>
    <w:link w:val="3"/>
    <w:qFormat/>
    <w:locked/>
    <w:uiPriority w:val="0"/>
    <w:rPr>
      <w:rFonts w:ascii="Arial" w:hAnsi="Arial" w:eastAsia="黑体" w:cstheme="minorBidi"/>
      <w:b/>
      <w:bCs/>
      <w:kern w:val="2"/>
      <w:sz w:val="32"/>
      <w:szCs w:val="32"/>
    </w:rPr>
  </w:style>
  <w:style w:type="character" w:customStyle="1" w:styleId="134">
    <w:name w:val="正文文本 3 字符"/>
    <w:basedOn w:val="39"/>
    <w:qFormat/>
    <w:uiPriority w:val="0"/>
    <w:rPr>
      <w:rFonts w:asciiTheme="minorHAnsi" w:hAnsiTheme="minorHAnsi" w:eastAsiaTheme="minorEastAsia" w:cstheme="minorBidi"/>
      <w:kern w:val="2"/>
      <w:sz w:val="16"/>
      <w:szCs w:val="16"/>
    </w:rPr>
  </w:style>
  <w:style w:type="paragraph" w:styleId="135">
    <w:name w:val="No Spacing"/>
    <w:qFormat/>
    <w:uiPriority w:val="1"/>
    <w:pPr>
      <w:widowControl w:val="0"/>
    </w:pPr>
    <w:rPr>
      <w:rFonts w:ascii="Times New Roman" w:hAnsi="Times New Roman" w:eastAsia="Times New Roman" w:cs="Times New Roman"/>
      <w:color w:val="000000"/>
      <w:sz w:val="24"/>
      <w:szCs w:val="24"/>
      <w:lang w:val="zh-CN" w:eastAsia="zh-CN" w:bidi="zh-CN"/>
    </w:rPr>
  </w:style>
  <w:style w:type="paragraph" w:customStyle="1" w:styleId="136">
    <w:name w:val="无间隔1"/>
    <w:qFormat/>
    <w:uiPriority w:val="0"/>
    <w:pPr>
      <w:widowControl w:val="0"/>
    </w:pPr>
    <w:rPr>
      <w:rFonts w:ascii="Times New Roman" w:hAnsi="Times New Roman" w:eastAsia="宋体" w:cs="Times New Roman"/>
      <w:color w:val="000000"/>
      <w:sz w:val="24"/>
      <w:szCs w:val="24"/>
      <w:lang w:val="zh-CN" w:eastAsia="zh-CN" w:bidi="ar-SA"/>
    </w:rPr>
  </w:style>
  <w:style w:type="character" w:customStyle="1" w:styleId="137">
    <w:name w:val="标题 字符"/>
    <w:basedOn w:val="39"/>
    <w:qFormat/>
    <w:uiPriority w:val="0"/>
    <w:rPr>
      <w:rFonts w:asciiTheme="majorHAnsi" w:hAnsiTheme="majorHAnsi" w:eastAsiaTheme="majorEastAsia" w:cstheme="majorBidi"/>
      <w:b/>
      <w:bCs/>
      <w:kern w:val="2"/>
      <w:sz w:val="32"/>
      <w:szCs w:val="32"/>
    </w:rPr>
  </w:style>
  <w:style w:type="paragraph" w:customStyle="1" w:styleId="138">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szCs w:val="22"/>
      <w:lang w:val="en-US" w:eastAsia="zh-CN" w:bidi="ar-SA"/>
    </w:rPr>
  </w:style>
  <w:style w:type="character" w:customStyle="1" w:styleId="139">
    <w:name w:val="日期 字符"/>
    <w:basedOn w:val="39"/>
    <w:link w:val="19"/>
    <w:qFormat/>
    <w:uiPriority w:val="0"/>
    <w:rPr>
      <w:rFonts w:hAnsiTheme="minorHAnsi" w:eastAsiaTheme="minorEastAsia" w:cstheme="minorBidi"/>
      <w:kern w:val="2"/>
      <w:sz w:val="28"/>
      <w:szCs w:val="22"/>
    </w:rPr>
  </w:style>
  <w:style w:type="character" w:customStyle="1" w:styleId="140">
    <w:name w:val="font11"/>
    <w:basedOn w:val="39"/>
    <w:qFormat/>
    <w:uiPriority w:val="0"/>
    <w:rPr>
      <w:rFonts w:hint="default" w:ascii="Calibri" w:hAnsi="Calibri" w:cs="Calibri"/>
      <w:color w:val="000000"/>
      <w:sz w:val="24"/>
      <w:szCs w:val="24"/>
      <w:u w:val="none"/>
    </w:rPr>
  </w:style>
  <w:style w:type="character" w:customStyle="1" w:styleId="141">
    <w:name w:val="font41"/>
    <w:basedOn w:val="39"/>
    <w:qFormat/>
    <w:uiPriority w:val="0"/>
    <w:rPr>
      <w:rFonts w:hint="eastAsia" w:ascii="宋体" w:hAnsi="宋体" w:eastAsia="宋体" w:cs="宋体"/>
      <w:color w:val="000000"/>
      <w:sz w:val="24"/>
      <w:szCs w:val="24"/>
      <w:u w:val="none"/>
    </w:rPr>
  </w:style>
  <w:style w:type="character" w:customStyle="1" w:styleId="142">
    <w:name w:val="mini-outputtext1"/>
    <w:basedOn w:val="39"/>
    <w:qFormat/>
    <w:uiPriority w:val="0"/>
  </w:style>
  <w:style w:type="paragraph" w:customStyle="1" w:styleId="143">
    <w:name w:val="u-content"/>
    <w:basedOn w:val="1"/>
    <w:qFormat/>
    <w:uiPriority w:val="0"/>
    <w:pPr>
      <w:widowControl/>
      <w:spacing w:before="100" w:beforeAutospacing="1" w:after="100" w:afterAutospacing="1"/>
      <w:jc w:val="left"/>
    </w:pPr>
    <w:rPr>
      <w:rFonts w:ascii="宋体" w:hAnsi="宋体" w:eastAsia="宋体" w:cs="宋体"/>
      <w:kern w:val="0"/>
      <w:sz w:val="24"/>
    </w:rPr>
  </w:style>
  <w:style w:type="table" w:customStyle="1" w:styleId="14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7B87C-0AF8-42D2-BA89-27291016352E}">
  <ds:schemaRefs/>
</ds:datastoreItem>
</file>

<file path=docProps/app.xml><?xml version="1.0" encoding="utf-8"?>
<Properties xmlns="http://schemas.openxmlformats.org/officeDocument/2006/extended-properties" xmlns:vt="http://schemas.openxmlformats.org/officeDocument/2006/docPropsVTypes">
  <Template>0</Template>
  <Company>DoubleOX</Company>
  <Pages>66</Pages>
  <Words>13883</Words>
  <Characters>15018</Characters>
  <Lines>281</Lines>
  <Paragraphs>79</Paragraphs>
  <TotalTime>23</TotalTime>
  <ScaleCrop>false</ScaleCrop>
  <LinksUpToDate>false</LinksUpToDate>
  <CharactersWithSpaces>15093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2023-09-18T01:52:00Z</dcterms:created>
  <dc:creator>Administrator</dc:creator>
  <cp:lastModifiedBy>田坤</cp:lastModifiedBy>
  <cp:lastPrinted>2025-10-17T01:05:00Z</cp:lastPrinted>
  <dcterms:modified xsi:type="dcterms:W3CDTF">2025-10-28T00:30:54Z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F5D4BF366C4040B89712EB4CFB1C38E9_13</vt:lpwstr>
  </property>
  <property fmtid="{D5CDD505-2E9C-101B-9397-08002B2CF9AE}" pid="4" name="KSOTemplateDocerSaveRecord">
    <vt:lpwstr>eyJoZGlkIjoiZGJhN2YyMWQ1Yjk2ZWRmMWNkODg5ODkyOGVjOWViZDAiLCJ1c2VySWQiOiIxNTg4OTU1NDQ4In0=</vt:lpwstr>
  </property>
</Properties>
</file>